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charts/chart1.xml" ContentType="application/vnd.openxmlformats-officedocument.drawingml.chart+xml"/>
  <Override PartName="/word/charts/chart2.xml" ContentType="application/vnd.openxmlformats-officedocument.drawingml.chart+xml"/>
  <Override PartName="/word/charts/chart3.xml" ContentType="application/vnd.openxmlformats-officedocument.drawingml.chart+xml"/>
  <Override PartName="/word/charts/chart4.xml" ContentType="application/vnd.openxmlformats-officedocument.drawingml.chart+xml"/>
  <Override PartName="/word/charts/chart5.xml" ContentType="application/vnd.openxmlformats-officedocument.drawingml.chart+xml"/>
  <Override PartName="/word/charts/chart6.xml" ContentType="application/vnd.openxmlformats-officedocument.drawingml.chart+xml"/>
  <Override PartName="/word/charts/chart7.xml" ContentType="application/vnd.openxmlformats-officedocument.drawingml.chart+xml"/>
  <Override PartName="/word/charts/colors1.xml" ContentType="application/vnd.ms-office.chartcolorstyle+xml"/>
  <Override PartName="/word/charts/colors2.xml" ContentType="application/vnd.ms-office.chartcolorstyle+xml"/>
  <Override PartName="/word/charts/colors3.xml" ContentType="application/vnd.ms-office.chartcolorstyle+xml"/>
  <Override PartName="/word/charts/colors4.xml" ContentType="application/vnd.ms-office.chartcolorstyle+xml"/>
  <Override PartName="/word/charts/colors5.xml" ContentType="application/vnd.ms-office.chartcolorstyle+xml"/>
  <Override PartName="/word/charts/colors6.xml" ContentType="application/vnd.ms-office.chartcolorstyle+xml"/>
  <Override PartName="/word/charts/colors7.xml" ContentType="application/vnd.ms-office.chartcolorstyle+xml"/>
  <Override PartName="/word/charts/style1.xml" ContentType="application/vnd.ms-office.chartstyle+xml"/>
  <Override PartName="/word/charts/style2.xml" ContentType="application/vnd.ms-office.chartstyle+xml"/>
  <Override PartName="/word/charts/style3.xml" ContentType="application/vnd.ms-office.chartstyle+xml"/>
  <Override PartName="/word/charts/style4.xml" ContentType="application/vnd.ms-office.chartstyle+xml"/>
  <Override PartName="/word/charts/style5.xml" ContentType="application/vnd.ms-office.chartstyle+xml"/>
  <Override PartName="/word/charts/style6.xml" ContentType="application/vnd.ms-office.chartstyle+xml"/>
  <Override PartName="/word/charts/style7.xml" ContentType="application/vnd.ms-office.chartstyle+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glossary/document.xml" ContentType="application/vnd.openxmlformats-officedocument.wordprocessingml.document.glossary+xml"/>
  <Override PartName="/word/glossary/fontTable.xml" ContentType="application/vnd.openxmlformats-officedocument.wordprocessingml.fontTable+xml"/>
  <Override PartName="/word/glossary/settings.xml" ContentType="application/vnd.openxmlformats-officedocument.wordprocessingml.settings+xml"/>
  <Override PartName="/word/glossary/styles.xml" ContentType="application/vnd.openxmlformats-officedocument.wordprocessingml.styles+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600" w:lineRule="exact"/>
        <w:jc w:val="center"/>
        <w:outlineLvl w:val="0"/>
        <w:rPr>
          <w:rFonts w:ascii="方正小标宋简体" w:hAnsi="宋体" w:eastAsia="方正小标宋简体"/>
          <w:color w:val="000000"/>
          <w:sz w:val="72"/>
          <w:szCs w:val="72"/>
        </w:rPr>
      </w:pPr>
      <w:bookmarkStart w:id="0" w:name="_Toc15306267"/>
    </w:p>
    <w:p>
      <w:pPr>
        <w:spacing w:line="600" w:lineRule="exact"/>
        <w:jc w:val="center"/>
        <w:outlineLvl w:val="0"/>
        <w:rPr>
          <w:rFonts w:ascii="方正小标宋简体" w:hAnsi="宋体" w:eastAsia="方正小标宋简体"/>
          <w:color w:val="000000"/>
          <w:sz w:val="72"/>
          <w:szCs w:val="72"/>
        </w:rPr>
      </w:pPr>
    </w:p>
    <w:p>
      <w:pPr>
        <w:spacing w:line="600" w:lineRule="exact"/>
        <w:jc w:val="center"/>
        <w:outlineLvl w:val="0"/>
        <w:rPr>
          <w:rFonts w:ascii="方正小标宋简体" w:hAnsi="宋体" w:eastAsia="方正小标宋简体"/>
          <w:color w:val="000000"/>
          <w:sz w:val="72"/>
          <w:szCs w:val="72"/>
        </w:rPr>
      </w:pPr>
    </w:p>
    <w:p>
      <w:pPr>
        <w:spacing w:line="600" w:lineRule="exact"/>
        <w:jc w:val="center"/>
        <w:outlineLvl w:val="0"/>
        <w:rPr>
          <w:rFonts w:ascii="方正小标宋简体" w:hAnsi="宋体" w:eastAsia="方正小标宋简体"/>
          <w:color w:val="000000"/>
          <w:sz w:val="72"/>
          <w:szCs w:val="72"/>
        </w:rPr>
      </w:pPr>
    </w:p>
    <w:p>
      <w:pPr>
        <w:adjustRightInd w:val="0"/>
        <w:snapToGrid w:val="0"/>
        <w:spacing w:line="360" w:lineRule="auto"/>
        <w:jc w:val="center"/>
        <w:outlineLvl w:val="9"/>
        <w:rPr>
          <w:rFonts w:ascii="方正小标宋简体" w:hAnsi="宋体" w:eastAsia="方正小标宋简体"/>
          <w:color w:val="000000"/>
          <w:sz w:val="72"/>
          <w:szCs w:val="72"/>
        </w:rPr>
      </w:pPr>
      <w:bookmarkStart w:id="1" w:name="_Toc15378441"/>
      <w:bookmarkStart w:id="2" w:name="_Toc15396597"/>
      <w:bookmarkStart w:id="3" w:name="_Toc15377425"/>
      <w:bookmarkStart w:id="4" w:name="_Toc15377193"/>
      <w:bookmarkStart w:id="5" w:name="_Toc15396475"/>
      <w:r>
        <w:rPr>
          <w:rFonts w:ascii="黑体" w:hAnsi="黑体" w:eastAsia="黑体"/>
          <w:color w:val="000000"/>
          <w:sz w:val="72"/>
          <w:szCs w:val="72"/>
        </w:rPr>
        <w:t>20</w:t>
      </w:r>
      <w:r>
        <w:rPr>
          <w:rFonts w:hint="eastAsia" w:ascii="黑体" w:hAnsi="黑体" w:eastAsia="黑体"/>
          <w:color w:val="000000"/>
          <w:sz w:val="72"/>
          <w:szCs w:val="72"/>
        </w:rPr>
        <w:t>2</w:t>
      </w:r>
      <w:r>
        <w:rPr>
          <w:rFonts w:hint="eastAsia" w:ascii="黑体" w:hAnsi="黑体" w:eastAsia="黑体"/>
          <w:color w:val="000000"/>
          <w:sz w:val="72"/>
          <w:szCs w:val="72"/>
          <w:lang w:val="en-US" w:eastAsia="zh-CN"/>
        </w:rPr>
        <w:t>1</w:t>
      </w:r>
      <w:r>
        <w:rPr>
          <w:rFonts w:hint="eastAsia" w:ascii="方正小标宋简体" w:hAnsi="宋体" w:eastAsia="方正小标宋简体"/>
          <w:color w:val="000000"/>
          <w:sz w:val="72"/>
          <w:szCs w:val="72"/>
        </w:rPr>
        <w:t>年度</w:t>
      </w:r>
      <w:bookmarkEnd w:id="1"/>
      <w:bookmarkEnd w:id="2"/>
      <w:bookmarkEnd w:id="3"/>
      <w:bookmarkEnd w:id="4"/>
      <w:bookmarkEnd w:id="5"/>
    </w:p>
    <w:bookmarkEnd w:id="0"/>
    <w:p>
      <w:pPr>
        <w:adjustRightInd w:val="0"/>
        <w:snapToGrid w:val="0"/>
        <w:spacing w:line="360" w:lineRule="auto"/>
        <w:jc w:val="center"/>
        <w:outlineLvl w:val="9"/>
        <w:rPr>
          <w:rFonts w:hint="eastAsia" w:ascii="方正小标宋简体" w:hAnsi="宋体" w:eastAsia="方正小标宋简体"/>
          <w:color w:val="000000"/>
          <w:sz w:val="72"/>
          <w:szCs w:val="72"/>
        </w:rPr>
      </w:pPr>
      <w:bookmarkStart w:id="6" w:name="_Toc15377426"/>
      <w:bookmarkStart w:id="7" w:name="_Toc15377194"/>
      <w:bookmarkStart w:id="8" w:name="_Toc15378442"/>
      <w:bookmarkStart w:id="9" w:name="_Toc15306268"/>
      <w:bookmarkStart w:id="10" w:name="_Toc15396598"/>
      <w:bookmarkStart w:id="11" w:name="_Toc15396476"/>
      <w:r>
        <w:rPr>
          <w:rFonts w:hint="eastAsia" w:ascii="方正小标宋简体" w:hAnsi="宋体" w:eastAsia="方正小标宋简体"/>
          <w:color w:val="000000"/>
          <w:sz w:val="72"/>
          <w:szCs w:val="72"/>
          <w:lang w:eastAsia="zh-CN"/>
        </w:rPr>
        <w:t>广安市委党校</w:t>
      </w:r>
      <w:r>
        <w:rPr>
          <w:rFonts w:hint="eastAsia" w:ascii="方正小标宋简体" w:hAnsi="宋体" w:eastAsia="方正小标宋简体"/>
          <w:color w:val="000000"/>
          <w:sz w:val="72"/>
          <w:szCs w:val="72"/>
        </w:rPr>
        <w:t>部门决算</w:t>
      </w:r>
      <w:bookmarkEnd w:id="6"/>
      <w:bookmarkEnd w:id="7"/>
      <w:bookmarkEnd w:id="8"/>
      <w:bookmarkEnd w:id="9"/>
      <w:bookmarkEnd w:id="10"/>
      <w:bookmarkEnd w:id="11"/>
    </w:p>
    <w:p>
      <w:pPr>
        <w:adjustRightInd w:val="0"/>
        <w:snapToGrid w:val="0"/>
        <w:spacing w:line="360" w:lineRule="auto"/>
        <w:jc w:val="center"/>
        <w:outlineLvl w:val="9"/>
        <w:rPr>
          <w:rFonts w:ascii="方正小标宋简体" w:hAnsi="宋体" w:eastAsia="方正小标宋简体"/>
          <w:color w:val="000000"/>
          <w:sz w:val="72"/>
          <w:szCs w:val="72"/>
        </w:rPr>
      </w:pPr>
      <w:r>
        <w:rPr>
          <w:rFonts w:hint="eastAsia" w:ascii="方正小标宋简体" w:hAnsi="宋体" w:eastAsia="方正小标宋简体"/>
          <w:color w:val="000000"/>
          <w:sz w:val="72"/>
          <w:szCs w:val="72"/>
        </w:rPr>
        <w:t>编制说明</w:t>
      </w:r>
    </w:p>
    <w:p>
      <w:pPr>
        <w:widowControl/>
        <w:jc w:val="center"/>
        <w:rPr>
          <w:rFonts w:ascii="黑体" w:hAnsi="黑体" w:eastAsia="黑体"/>
          <w:color w:val="000000"/>
          <w:sz w:val="48"/>
          <w:szCs w:val="48"/>
        </w:rPr>
      </w:pPr>
      <w:r>
        <w:rPr>
          <w:rFonts w:ascii="方正小标宋简体" w:hAnsi="宋体" w:eastAsia="方正小标宋简体"/>
          <w:color w:val="000000"/>
          <w:sz w:val="36"/>
          <w:szCs w:val="36"/>
        </w:rPr>
        <w:br w:type="page"/>
      </w:r>
      <w:r>
        <w:rPr>
          <w:rFonts w:hint="eastAsia" w:ascii="黑体" w:hAnsi="黑体" w:eastAsia="黑体"/>
          <w:color w:val="000000"/>
          <w:sz w:val="48"/>
          <w:szCs w:val="48"/>
        </w:rPr>
        <w:t>目录</w:t>
      </w:r>
    </w:p>
    <w:p>
      <w:pPr>
        <w:widowControl/>
        <w:jc w:val="center"/>
        <w:rPr>
          <w:rFonts w:ascii="黑体" w:hAnsi="黑体" w:eastAsia="黑体" w:cstheme="minorBidi"/>
          <w:sz w:val="28"/>
          <w:szCs w:val="28"/>
        </w:rPr>
      </w:pPr>
    </w:p>
    <w:p>
      <w:pPr>
        <w:pStyle w:val="11"/>
        <w:rPr>
          <w:rFonts w:hint="eastAsia"/>
          <w:highlight w:val="none"/>
        </w:rPr>
      </w:pPr>
      <w:r>
        <w:rPr>
          <w:rFonts w:hint="eastAsia"/>
          <w:highlight w:val="none"/>
        </w:rPr>
        <w:t>公开时间：202</w:t>
      </w:r>
      <w:r>
        <w:rPr>
          <w:rFonts w:hint="eastAsia"/>
          <w:highlight w:val="none"/>
          <w:lang w:val="en-US" w:eastAsia="zh-CN"/>
        </w:rPr>
        <w:t>2</w:t>
      </w:r>
      <w:r>
        <w:rPr>
          <w:rFonts w:hint="eastAsia"/>
          <w:highlight w:val="none"/>
        </w:rPr>
        <w:t>年</w:t>
      </w:r>
      <w:r>
        <w:rPr>
          <w:rFonts w:hint="eastAsia"/>
          <w:highlight w:val="none"/>
          <w:lang w:val="en-US" w:eastAsia="zh-CN"/>
        </w:rPr>
        <w:t>8</w:t>
      </w:r>
      <w:r>
        <w:rPr>
          <w:rFonts w:hint="eastAsia"/>
          <w:highlight w:val="none"/>
        </w:rPr>
        <w:t>月</w:t>
      </w:r>
      <w:r>
        <w:rPr>
          <w:rFonts w:hint="eastAsia"/>
          <w:highlight w:val="none"/>
          <w:lang w:val="en-US" w:eastAsia="zh-CN"/>
        </w:rPr>
        <w:t>3</w:t>
      </w:r>
      <w:r>
        <w:rPr>
          <w:rFonts w:hint="eastAsia"/>
          <w:highlight w:val="none"/>
        </w:rPr>
        <w:t>日</w:t>
      </w:r>
    </w:p>
    <w:sdt>
      <w:sdtPr>
        <w:rPr>
          <w:rFonts w:ascii="宋体" w:hAnsi="宋体" w:eastAsia="宋体" w:cs="Times New Roman"/>
          <w:kern w:val="2"/>
          <w:sz w:val="21"/>
          <w:szCs w:val="24"/>
          <w:lang w:val="en-US" w:eastAsia="zh-CN" w:bidi="ar-SA"/>
        </w:rPr>
        <w:id w:val="501944349"/>
        <w:docPartObj>
          <w:docPartGallery w:val="Table of Contents"/>
          <w:docPartUnique/>
        </w:docPartObj>
      </w:sdtPr>
      <w:sdtEndPr>
        <w:rPr>
          <w:rFonts w:ascii="宋体" w:hAnsi="宋体" w:eastAsia="宋体" w:cs="Times New Roman"/>
          <w:kern w:val="2"/>
          <w:sz w:val="20"/>
          <w:szCs w:val="20"/>
          <w:lang w:val="en-US" w:eastAsia="zh-CN" w:bidi="ar-SA"/>
        </w:rPr>
      </w:sdtEndPr>
      <w:sdtContent>
        <w:p>
          <w:pPr>
            <w:spacing w:before="0" w:beforeLines="0" w:after="0" w:afterLines="0" w:line="240" w:lineRule="auto"/>
            <w:ind w:left="0" w:leftChars="0" w:right="0" w:rightChars="0" w:firstLine="0" w:firstLineChars="0"/>
            <w:jc w:val="center"/>
          </w:pPr>
          <w:bookmarkStart w:id="12" w:name="_Toc318884909_WPSOffice_Type3"/>
          <w:r>
            <w:rPr>
              <w:rFonts w:ascii="宋体" w:hAnsi="宋体" w:eastAsia="宋体"/>
              <w:sz w:val="21"/>
            </w:rPr>
            <w:t>目录</w:t>
          </w:r>
        </w:p>
        <w:p>
          <w:pPr>
            <w:pStyle w:val="31"/>
            <w:tabs>
              <w:tab w:val="right" w:leader="dot" w:pos="8788"/>
            </w:tabs>
          </w:pPr>
        </w:p>
        <w:p>
          <w:pPr>
            <w:pStyle w:val="31"/>
            <w:tabs>
              <w:tab w:val="right" w:leader="dot" w:pos="8788"/>
            </w:tabs>
          </w:pPr>
          <w:r>
            <w:fldChar w:fldCharType="begin"/>
          </w:r>
          <w:r>
            <w:instrText xml:space="preserve"> HYPERLINK \l _Toc1763674126_WPSOffice_Level1 </w:instrText>
          </w:r>
          <w:r>
            <w:fldChar w:fldCharType="separate"/>
          </w:r>
          <w:sdt>
            <w:sdtPr>
              <w:rPr>
                <w:rFonts w:ascii="Times New Roman" w:hAnsi="Times New Roman" w:eastAsia="宋体" w:cs="Times New Roman"/>
                <w:kern w:val="2"/>
                <w:sz w:val="21"/>
                <w:szCs w:val="24"/>
                <w:lang w:val="en-US" w:eastAsia="zh-CN" w:bidi="ar-SA"/>
              </w:rPr>
              <w:id w:val="501944349"/>
              <w:placeholder>
                <w:docPart w:val="{260c9c43-b607-454d-bbba-a5c6d6cd7276}"/>
              </w:placeholder>
            </w:sdtPr>
            <w:sdtEndPr>
              <w:rPr>
                <w:rFonts w:ascii="Times New Roman" w:hAnsi="Times New Roman" w:eastAsia="宋体" w:cs="Times New Roman"/>
                <w:kern w:val="2"/>
                <w:sz w:val="21"/>
                <w:szCs w:val="24"/>
                <w:lang w:val="en-US" w:eastAsia="zh-CN" w:bidi="ar-SA"/>
              </w:rPr>
            </w:sdtEndPr>
            <w:sdtContent>
              <w:r>
                <w:rPr>
                  <w:rFonts w:hint="eastAsia" w:ascii="黑体" w:hAnsi="黑体" w:eastAsia="黑体" w:cs="Times New Roman"/>
                </w:rPr>
                <w:t>第一部分 部门概况</w:t>
              </w:r>
            </w:sdtContent>
          </w:sdt>
          <w:r>
            <w:tab/>
          </w:r>
          <w:bookmarkStart w:id="13" w:name="_Toc1763674126_WPSOffice_Level1Page"/>
          <w:r>
            <w:t>6</w:t>
          </w:r>
          <w:bookmarkEnd w:id="13"/>
          <w:r>
            <w:fldChar w:fldCharType="end"/>
          </w:r>
        </w:p>
        <w:p>
          <w:pPr>
            <w:pStyle w:val="32"/>
            <w:tabs>
              <w:tab w:val="right" w:leader="dot" w:pos="8788"/>
            </w:tabs>
          </w:pPr>
          <w:r>
            <w:fldChar w:fldCharType="begin"/>
          </w:r>
          <w:r>
            <w:instrText xml:space="preserve"> HYPERLINK \l _Toc318884909_WPSOffice_Level2 </w:instrText>
          </w:r>
          <w:r>
            <w:fldChar w:fldCharType="separate"/>
          </w:r>
          <w:sdt>
            <w:sdtPr>
              <w:rPr>
                <w:rFonts w:ascii="Times New Roman" w:hAnsi="Times New Roman" w:eastAsia="宋体" w:cs="Times New Roman"/>
                <w:kern w:val="2"/>
                <w:sz w:val="21"/>
                <w:szCs w:val="24"/>
                <w:lang w:val="en-US" w:eastAsia="zh-CN" w:bidi="ar-SA"/>
              </w:rPr>
              <w:id w:val="501944349"/>
              <w:placeholder>
                <w:docPart w:val="{1e4b4f9e-0aee-49c2-b171-19e5af0e2396}"/>
              </w:placeholder>
            </w:sdtPr>
            <w:sdtEndPr>
              <w:rPr>
                <w:rFonts w:ascii="Times New Roman" w:hAnsi="Times New Roman" w:eastAsia="宋体" w:cs="Times New Roman"/>
                <w:kern w:val="2"/>
                <w:sz w:val="21"/>
                <w:szCs w:val="24"/>
                <w:lang w:val="en-US" w:eastAsia="zh-CN" w:bidi="ar-SA"/>
              </w:rPr>
            </w:sdtEndPr>
            <w:sdtContent>
              <w:r>
                <w:rPr>
                  <w:rFonts w:hint="eastAsia" w:ascii="黑体" w:hAnsi="黑体" w:eastAsia="黑体" w:cstheme="majorBidi"/>
                </w:rPr>
                <w:t>一、基本职能及主要工作</w:t>
              </w:r>
            </w:sdtContent>
          </w:sdt>
          <w:r>
            <w:tab/>
          </w:r>
          <w:bookmarkStart w:id="14" w:name="_Toc318884909_WPSOffice_Level2Page"/>
          <w:r>
            <w:t>6</w:t>
          </w:r>
          <w:bookmarkEnd w:id="14"/>
          <w:r>
            <w:fldChar w:fldCharType="end"/>
          </w:r>
        </w:p>
        <w:p>
          <w:pPr>
            <w:pStyle w:val="33"/>
            <w:tabs>
              <w:tab w:val="right" w:leader="dot" w:pos="8788"/>
            </w:tabs>
          </w:pPr>
          <w:r>
            <w:fldChar w:fldCharType="begin"/>
          </w:r>
          <w:r>
            <w:instrText xml:space="preserve"> HYPERLINK \l _Toc318884909_WPSOffice_Level3 </w:instrText>
          </w:r>
          <w:r>
            <w:fldChar w:fldCharType="separate"/>
          </w:r>
          <w:sdt>
            <w:sdtPr>
              <w:rPr>
                <w:rFonts w:ascii="Times New Roman" w:hAnsi="Times New Roman" w:eastAsia="宋体" w:cs="Times New Roman"/>
                <w:kern w:val="2"/>
                <w:sz w:val="21"/>
                <w:szCs w:val="24"/>
                <w:lang w:val="en-US" w:eastAsia="zh-CN" w:bidi="ar-SA"/>
              </w:rPr>
              <w:id w:val="501944349"/>
              <w:placeholder>
                <w:docPart w:val="{939e89b8-d290-41f5-9f55-89463f1dae21}"/>
              </w:placeholder>
            </w:sdtPr>
            <w:sdtEndPr>
              <w:rPr>
                <w:rFonts w:ascii="Times New Roman" w:hAnsi="Times New Roman" w:eastAsia="宋体" w:cs="Times New Roman"/>
                <w:kern w:val="2"/>
                <w:sz w:val="21"/>
                <w:szCs w:val="24"/>
                <w:lang w:val="en-US" w:eastAsia="zh-CN" w:bidi="ar-SA"/>
              </w:rPr>
            </w:sdtEndPr>
            <w:sdtContent>
              <w:r>
                <w:rPr>
                  <w:rFonts w:hint="eastAsia" w:ascii="仿宋" w:hAnsi="仿宋" w:eastAsia="仿宋" w:cs="Times New Roman"/>
                </w:rPr>
                <w:t>（一）主要职能。</w:t>
              </w:r>
            </w:sdtContent>
          </w:sdt>
          <w:r>
            <w:tab/>
          </w:r>
          <w:bookmarkStart w:id="15" w:name="_Toc318884909_WPSOffice_Level3Page"/>
          <w:r>
            <w:t>6</w:t>
          </w:r>
          <w:bookmarkEnd w:id="15"/>
          <w:r>
            <w:fldChar w:fldCharType="end"/>
          </w:r>
        </w:p>
        <w:p>
          <w:pPr>
            <w:pStyle w:val="33"/>
            <w:tabs>
              <w:tab w:val="right" w:leader="dot" w:pos="8788"/>
            </w:tabs>
          </w:pPr>
          <w:r>
            <w:fldChar w:fldCharType="begin"/>
          </w:r>
          <w:r>
            <w:instrText xml:space="preserve"> HYPERLINK \l _Toc51177215_WPSOffice_Level3 </w:instrText>
          </w:r>
          <w:r>
            <w:fldChar w:fldCharType="separate"/>
          </w:r>
          <w:sdt>
            <w:sdtPr>
              <w:rPr>
                <w:rFonts w:ascii="Times New Roman" w:hAnsi="Times New Roman" w:eastAsia="宋体" w:cs="Times New Roman"/>
                <w:kern w:val="2"/>
                <w:sz w:val="21"/>
                <w:szCs w:val="24"/>
                <w:lang w:val="en-US" w:eastAsia="zh-CN" w:bidi="ar-SA"/>
              </w:rPr>
              <w:id w:val="501944349"/>
              <w:placeholder>
                <w:docPart w:val="{695b3483-1eb1-411a-a574-8223c76d09c0}"/>
              </w:placeholder>
            </w:sdtPr>
            <w:sdtEndPr>
              <w:rPr>
                <w:rFonts w:ascii="Times New Roman" w:hAnsi="Times New Roman" w:eastAsia="宋体" w:cs="Times New Roman"/>
                <w:kern w:val="2"/>
                <w:sz w:val="21"/>
                <w:szCs w:val="24"/>
                <w:lang w:val="en-US" w:eastAsia="zh-CN" w:bidi="ar-SA"/>
              </w:rPr>
            </w:sdtEndPr>
            <w:sdtContent>
              <w:r>
                <w:rPr>
                  <w:rFonts w:hint="eastAsia" w:ascii="仿宋" w:hAnsi="仿宋" w:eastAsia="仿宋" w:cs="Times New Roman"/>
                </w:rPr>
                <w:t>（二）</w:t>
              </w:r>
              <w:r>
                <w:rPr>
                  <w:rFonts w:ascii="仿宋" w:hAnsi="仿宋" w:eastAsia="仿宋" w:cs="Times New Roman"/>
                </w:rPr>
                <w:t>20</w:t>
              </w:r>
              <w:r>
                <w:rPr>
                  <w:rFonts w:hint="eastAsia" w:ascii="仿宋" w:hAnsi="仿宋" w:eastAsia="仿宋" w:cs="Times New Roman"/>
                </w:rPr>
                <w:t>21年重点工作完成情况。</w:t>
              </w:r>
            </w:sdtContent>
          </w:sdt>
          <w:r>
            <w:tab/>
          </w:r>
          <w:bookmarkStart w:id="16" w:name="_Toc51177215_WPSOffice_Level3Page"/>
          <w:r>
            <w:t>6</w:t>
          </w:r>
          <w:bookmarkEnd w:id="16"/>
          <w:r>
            <w:fldChar w:fldCharType="end"/>
          </w:r>
        </w:p>
        <w:p>
          <w:pPr>
            <w:pStyle w:val="32"/>
            <w:tabs>
              <w:tab w:val="right" w:leader="dot" w:pos="8788"/>
            </w:tabs>
          </w:pPr>
          <w:r>
            <w:fldChar w:fldCharType="begin"/>
          </w:r>
          <w:r>
            <w:instrText xml:space="preserve"> HYPERLINK \l _Toc51177215_WPSOffice_Level2 </w:instrText>
          </w:r>
          <w:r>
            <w:fldChar w:fldCharType="separate"/>
          </w:r>
          <w:sdt>
            <w:sdtPr>
              <w:rPr>
                <w:rFonts w:ascii="Times New Roman" w:hAnsi="Times New Roman" w:eastAsia="宋体" w:cs="Times New Roman"/>
                <w:kern w:val="2"/>
                <w:sz w:val="21"/>
                <w:szCs w:val="24"/>
                <w:lang w:val="en-US" w:eastAsia="zh-CN" w:bidi="ar-SA"/>
              </w:rPr>
              <w:id w:val="501944349"/>
              <w:placeholder>
                <w:docPart w:val="{9c835d50-938e-4c59-b1b8-47e2593bf319}"/>
              </w:placeholder>
            </w:sdtPr>
            <w:sdtEndPr>
              <w:rPr>
                <w:rFonts w:ascii="Times New Roman" w:hAnsi="Times New Roman" w:eastAsia="宋体" w:cs="Times New Roman"/>
                <w:kern w:val="2"/>
                <w:sz w:val="21"/>
                <w:szCs w:val="24"/>
                <w:lang w:val="en-US" w:eastAsia="zh-CN" w:bidi="ar-SA"/>
              </w:rPr>
            </w:sdtEndPr>
            <w:sdtContent>
              <w:r>
                <w:rPr>
                  <w:rFonts w:hint="eastAsia" w:ascii="黑体" w:eastAsia="黑体" w:hAnsiTheme="majorHAnsi" w:cstheme="majorBidi"/>
                </w:rPr>
                <w:t>二、</w:t>
              </w:r>
              <w:r>
                <w:rPr>
                  <w:rFonts w:hint="eastAsia" w:ascii="黑体" w:hAnsi="黑体" w:eastAsia="黑体" w:cstheme="majorBidi"/>
                </w:rPr>
                <w:t>机构设置</w:t>
              </w:r>
            </w:sdtContent>
          </w:sdt>
          <w:r>
            <w:tab/>
          </w:r>
          <w:bookmarkStart w:id="17" w:name="_Toc51177215_WPSOffice_Level2Page"/>
          <w:r>
            <w:t>7</w:t>
          </w:r>
          <w:bookmarkEnd w:id="17"/>
          <w:r>
            <w:fldChar w:fldCharType="end"/>
          </w:r>
        </w:p>
        <w:p>
          <w:pPr>
            <w:pStyle w:val="31"/>
            <w:tabs>
              <w:tab w:val="right" w:leader="dot" w:pos="8788"/>
            </w:tabs>
          </w:pPr>
          <w:r>
            <w:fldChar w:fldCharType="begin"/>
          </w:r>
          <w:r>
            <w:instrText xml:space="preserve"> HYPERLINK \l _Toc455772242_WPSOffice_Level1 </w:instrText>
          </w:r>
          <w:r>
            <w:fldChar w:fldCharType="separate"/>
          </w:r>
          <w:sdt>
            <w:sdtPr>
              <w:rPr>
                <w:rFonts w:ascii="Times New Roman" w:hAnsi="Times New Roman" w:eastAsia="宋体" w:cs="Times New Roman"/>
                <w:kern w:val="2"/>
                <w:sz w:val="21"/>
                <w:szCs w:val="24"/>
                <w:lang w:val="en-US" w:eastAsia="zh-CN" w:bidi="ar-SA"/>
              </w:rPr>
              <w:id w:val="501944349"/>
              <w:placeholder>
                <w:docPart w:val="{5ecb8845-d7ae-4d7e-91e1-b6f9b125cf20}"/>
              </w:placeholder>
            </w:sdtPr>
            <w:sdtEndPr>
              <w:rPr>
                <w:rFonts w:ascii="Times New Roman" w:hAnsi="Times New Roman" w:eastAsia="宋体" w:cs="Times New Roman"/>
                <w:kern w:val="2"/>
                <w:sz w:val="21"/>
                <w:szCs w:val="24"/>
                <w:lang w:val="en-US" w:eastAsia="zh-CN" w:bidi="ar-SA"/>
              </w:rPr>
            </w:sdtEndPr>
            <w:sdtContent>
              <w:r>
                <w:rPr>
                  <w:rFonts w:hint="eastAsia" w:ascii="黑体" w:hAnsi="黑体" w:eastAsia="黑体" w:cs="Times New Roman"/>
                </w:rPr>
                <w:t>第二部分 2021年度部门决算情况说明</w:t>
              </w:r>
            </w:sdtContent>
          </w:sdt>
          <w:r>
            <w:tab/>
          </w:r>
          <w:bookmarkStart w:id="18" w:name="_Toc455772242_WPSOffice_Level1Page"/>
          <w:r>
            <w:t>9</w:t>
          </w:r>
          <w:bookmarkEnd w:id="18"/>
          <w:r>
            <w:fldChar w:fldCharType="end"/>
          </w:r>
        </w:p>
        <w:p>
          <w:pPr>
            <w:pStyle w:val="32"/>
            <w:tabs>
              <w:tab w:val="right" w:leader="dot" w:pos="8788"/>
            </w:tabs>
          </w:pPr>
          <w:r>
            <w:fldChar w:fldCharType="begin"/>
          </w:r>
          <w:r>
            <w:instrText xml:space="preserve"> HYPERLINK \l _Toc854237424_WPSOffice_Level2 </w:instrText>
          </w:r>
          <w:r>
            <w:fldChar w:fldCharType="separate"/>
          </w:r>
          <w:sdt>
            <w:sdtPr>
              <w:rPr>
                <w:rFonts w:ascii="Times New Roman" w:hAnsi="Times New Roman" w:eastAsia="宋体" w:cs="Times New Roman"/>
                <w:kern w:val="2"/>
                <w:sz w:val="21"/>
                <w:szCs w:val="24"/>
                <w:lang w:val="en-US" w:eastAsia="zh-CN" w:bidi="ar-SA"/>
              </w:rPr>
              <w:id w:val="501944349"/>
              <w:placeholder>
                <w:docPart w:val="{a2a453a8-6558-497e-b925-7da2025ce5f9}"/>
              </w:placeholder>
            </w:sdtPr>
            <w:sdtEndPr>
              <w:rPr>
                <w:rFonts w:ascii="Times New Roman" w:hAnsi="Times New Roman" w:eastAsia="宋体" w:cs="Times New Roman"/>
                <w:kern w:val="2"/>
                <w:sz w:val="21"/>
                <w:szCs w:val="24"/>
                <w:lang w:val="en-US" w:eastAsia="zh-CN" w:bidi="ar-SA"/>
              </w:rPr>
            </w:sdtEndPr>
            <w:sdtContent>
              <w:r>
                <w:rPr>
                  <w:rFonts w:hint="default" w:ascii="黑体" w:hAnsi="黑体" w:eastAsia="黑体" w:cstheme="majorBidi"/>
                </w:rPr>
                <w:t xml:space="preserve">一、 </w:t>
              </w:r>
              <w:r>
                <w:rPr>
                  <w:rFonts w:hint="eastAsia" w:ascii="黑体" w:hAnsi="黑体" w:eastAsia="黑体" w:cs="Times New Roman"/>
                </w:rPr>
                <w:t>收</w:t>
              </w:r>
              <w:r>
                <w:rPr>
                  <w:rFonts w:hint="eastAsia" w:ascii="黑体" w:hAnsi="黑体" w:eastAsia="黑体" w:cstheme="majorBidi"/>
                </w:rPr>
                <w:t>入支出决算总体情况说明</w:t>
              </w:r>
            </w:sdtContent>
          </w:sdt>
          <w:r>
            <w:tab/>
          </w:r>
          <w:bookmarkStart w:id="19" w:name="_Toc854237424_WPSOffice_Level2Page"/>
          <w:r>
            <w:t>9</w:t>
          </w:r>
          <w:bookmarkEnd w:id="19"/>
          <w:r>
            <w:fldChar w:fldCharType="end"/>
          </w:r>
        </w:p>
        <w:p>
          <w:pPr>
            <w:pStyle w:val="32"/>
            <w:tabs>
              <w:tab w:val="right" w:leader="dot" w:pos="8788"/>
            </w:tabs>
          </w:pPr>
          <w:r>
            <w:fldChar w:fldCharType="begin"/>
          </w:r>
          <w:r>
            <w:instrText xml:space="preserve"> HYPERLINK \l _Toc718182856_WPSOffice_Level2 </w:instrText>
          </w:r>
          <w:r>
            <w:fldChar w:fldCharType="separate"/>
          </w:r>
          <w:sdt>
            <w:sdtPr>
              <w:rPr>
                <w:rFonts w:ascii="Times New Roman" w:hAnsi="Times New Roman" w:eastAsia="宋体" w:cs="Times New Roman"/>
                <w:kern w:val="2"/>
                <w:sz w:val="21"/>
                <w:szCs w:val="24"/>
                <w:lang w:val="en-US" w:eastAsia="zh-CN" w:bidi="ar-SA"/>
              </w:rPr>
              <w:id w:val="501944349"/>
              <w:placeholder>
                <w:docPart w:val="{f6cdf2df-39d2-44fb-aac7-eb221f2fa48d}"/>
              </w:placeholder>
            </w:sdtPr>
            <w:sdtEndPr>
              <w:rPr>
                <w:rFonts w:ascii="Times New Roman" w:hAnsi="Times New Roman" w:eastAsia="宋体" w:cs="Times New Roman"/>
                <w:kern w:val="2"/>
                <w:sz w:val="21"/>
                <w:szCs w:val="24"/>
                <w:lang w:val="en-US" w:eastAsia="zh-CN" w:bidi="ar-SA"/>
              </w:rPr>
            </w:sdtEndPr>
            <w:sdtContent>
              <w:r>
                <w:rPr>
                  <w:rFonts w:hint="default" w:ascii="黑体" w:hAnsi="黑体" w:eastAsia="黑体" w:cstheme="majorBidi"/>
                </w:rPr>
                <w:t xml:space="preserve">二、 </w:t>
              </w:r>
              <w:r>
                <w:rPr>
                  <w:rFonts w:hint="eastAsia" w:ascii="黑体" w:hAnsi="黑体" w:eastAsia="黑体" w:cs="Times New Roman"/>
                </w:rPr>
                <w:t>收</w:t>
              </w:r>
              <w:r>
                <w:rPr>
                  <w:rFonts w:hint="eastAsia" w:ascii="黑体" w:hAnsi="黑体" w:eastAsia="黑体" w:cstheme="majorBidi"/>
                </w:rPr>
                <w:t>入决算情况说明</w:t>
              </w:r>
            </w:sdtContent>
          </w:sdt>
          <w:r>
            <w:tab/>
          </w:r>
          <w:bookmarkStart w:id="20" w:name="_Toc718182856_WPSOffice_Level2Page"/>
          <w:r>
            <w:t>9</w:t>
          </w:r>
          <w:bookmarkEnd w:id="20"/>
          <w:r>
            <w:fldChar w:fldCharType="end"/>
          </w:r>
        </w:p>
        <w:p>
          <w:pPr>
            <w:pStyle w:val="32"/>
            <w:tabs>
              <w:tab w:val="right" w:leader="dot" w:pos="8788"/>
            </w:tabs>
          </w:pPr>
          <w:r>
            <w:fldChar w:fldCharType="begin"/>
          </w:r>
          <w:r>
            <w:instrText xml:space="preserve"> HYPERLINK \l _Toc1763674126_WPSOffice_Level2 </w:instrText>
          </w:r>
          <w:r>
            <w:fldChar w:fldCharType="separate"/>
          </w:r>
          <w:sdt>
            <w:sdtPr>
              <w:rPr>
                <w:rFonts w:ascii="Times New Roman" w:hAnsi="Times New Roman" w:eastAsia="宋体" w:cs="Times New Roman"/>
                <w:kern w:val="2"/>
                <w:sz w:val="21"/>
                <w:szCs w:val="24"/>
                <w:lang w:val="en-US" w:eastAsia="zh-CN" w:bidi="ar-SA"/>
              </w:rPr>
              <w:id w:val="501944349"/>
              <w:placeholder>
                <w:docPart w:val="{602006da-8d0e-446d-8354-36ec22737ba5}"/>
              </w:placeholder>
            </w:sdtPr>
            <w:sdtEndPr>
              <w:rPr>
                <w:rFonts w:ascii="Times New Roman" w:hAnsi="Times New Roman" w:eastAsia="宋体" w:cs="Times New Roman"/>
                <w:kern w:val="2"/>
                <w:sz w:val="21"/>
                <w:szCs w:val="24"/>
                <w:lang w:val="en-US" w:eastAsia="zh-CN" w:bidi="ar-SA"/>
              </w:rPr>
            </w:sdtEndPr>
            <w:sdtContent>
              <w:r>
                <w:rPr>
                  <w:rFonts w:hint="default" w:ascii="黑体" w:hAnsi="黑体" w:eastAsia="黑体" w:cstheme="majorBidi"/>
                </w:rPr>
                <w:t xml:space="preserve">三、 </w:t>
              </w:r>
              <w:r>
                <w:rPr>
                  <w:rFonts w:hint="eastAsia" w:ascii="黑体" w:hAnsi="黑体" w:eastAsia="黑体" w:cs="Times New Roman"/>
                </w:rPr>
                <w:t>支</w:t>
              </w:r>
              <w:r>
                <w:rPr>
                  <w:rFonts w:hint="eastAsia" w:ascii="黑体" w:hAnsi="黑体" w:eastAsia="黑体" w:cstheme="majorBidi"/>
                </w:rPr>
                <w:t>出决算情况说明</w:t>
              </w:r>
            </w:sdtContent>
          </w:sdt>
          <w:r>
            <w:tab/>
          </w:r>
          <w:bookmarkStart w:id="21" w:name="_Toc1763674126_WPSOffice_Level2Page"/>
          <w:r>
            <w:t>10</w:t>
          </w:r>
          <w:bookmarkEnd w:id="21"/>
          <w:r>
            <w:fldChar w:fldCharType="end"/>
          </w:r>
        </w:p>
        <w:p>
          <w:pPr>
            <w:pStyle w:val="32"/>
            <w:tabs>
              <w:tab w:val="right" w:leader="dot" w:pos="8788"/>
            </w:tabs>
          </w:pPr>
          <w:r>
            <w:fldChar w:fldCharType="begin"/>
          </w:r>
          <w:r>
            <w:instrText xml:space="preserve"> HYPERLINK \l _Toc455772242_WPSOffice_Level2 </w:instrText>
          </w:r>
          <w:r>
            <w:fldChar w:fldCharType="separate"/>
          </w:r>
          <w:sdt>
            <w:sdtPr>
              <w:rPr>
                <w:rFonts w:ascii="Times New Roman" w:hAnsi="Times New Roman" w:eastAsia="宋体" w:cs="Times New Roman"/>
                <w:kern w:val="2"/>
                <w:sz w:val="21"/>
                <w:szCs w:val="24"/>
                <w:lang w:val="en-US" w:eastAsia="zh-CN" w:bidi="ar-SA"/>
              </w:rPr>
              <w:id w:val="501944349"/>
              <w:placeholder>
                <w:docPart w:val="{7a4308aa-97c8-44aa-824f-60518b998f81}"/>
              </w:placeholder>
            </w:sdtPr>
            <w:sdtEndPr>
              <w:rPr>
                <w:rFonts w:ascii="Times New Roman" w:hAnsi="Times New Roman" w:eastAsia="宋体" w:cs="Times New Roman"/>
                <w:kern w:val="2"/>
                <w:sz w:val="21"/>
                <w:szCs w:val="24"/>
                <w:lang w:val="en-US" w:eastAsia="zh-CN" w:bidi="ar-SA"/>
              </w:rPr>
            </w:sdtEndPr>
            <w:sdtContent>
              <w:r>
                <w:rPr>
                  <w:rFonts w:hint="eastAsia" w:ascii="黑体" w:hAnsi="黑体" w:eastAsia="黑体" w:cs="Times New Roman"/>
                </w:rPr>
                <w:t>四、财</w:t>
              </w:r>
              <w:r>
                <w:rPr>
                  <w:rFonts w:hint="eastAsia" w:ascii="黑体" w:hAnsi="黑体" w:eastAsia="黑体" w:cstheme="majorBidi"/>
                </w:rPr>
                <w:t>政拨款收入支出决算总体情况说明</w:t>
              </w:r>
            </w:sdtContent>
          </w:sdt>
          <w:r>
            <w:tab/>
          </w:r>
          <w:bookmarkStart w:id="22" w:name="_Toc455772242_WPSOffice_Level2Page"/>
          <w:r>
            <w:t>11</w:t>
          </w:r>
          <w:bookmarkEnd w:id="22"/>
          <w:r>
            <w:fldChar w:fldCharType="end"/>
          </w:r>
        </w:p>
        <w:p>
          <w:pPr>
            <w:pStyle w:val="32"/>
            <w:tabs>
              <w:tab w:val="right" w:leader="dot" w:pos="8788"/>
            </w:tabs>
          </w:pPr>
          <w:r>
            <w:fldChar w:fldCharType="begin"/>
          </w:r>
          <w:r>
            <w:instrText xml:space="preserve"> HYPERLINK \l _Toc580365366_WPSOffice_Level2 </w:instrText>
          </w:r>
          <w:r>
            <w:fldChar w:fldCharType="separate"/>
          </w:r>
          <w:sdt>
            <w:sdtPr>
              <w:rPr>
                <w:rFonts w:ascii="Times New Roman" w:hAnsi="Times New Roman" w:eastAsia="宋体" w:cs="Times New Roman"/>
                <w:kern w:val="2"/>
                <w:sz w:val="21"/>
                <w:szCs w:val="24"/>
                <w:lang w:val="en-US" w:eastAsia="zh-CN" w:bidi="ar-SA"/>
              </w:rPr>
              <w:id w:val="501944349"/>
              <w:placeholder>
                <w:docPart w:val="{23037abe-9483-41eb-bcb4-40c4bf384c43}"/>
              </w:placeholder>
            </w:sdtPr>
            <w:sdtEndPr>
              <w:rPr>
                <w:rFonts w:ascii="Times New Roman" w:hAnsi="Times New Roman" w:eastAsia="宋体" w:cs="Times New Roman"/>
                <w:kern w:val="2"/>
                <w:sz w:val="21"/>
                <w:szCs w:val="24"/>
                <w:lang w:val="en-US" w:eastAsia="zh-CN" w:bidi="ar-SA"/>
              </w:rPr>
            </w:sdtEndPr>
            <w:sdtContent>
              <w:r>
                <w:rPr>
                  <w:rFonts w:hint="eastAsia" w:ascii="黑体" w:hAnsi="黑体" w:eastAsia="黑体" w:cs="Times New Roman"/>
                </w:rPr>
                <w:t>五、一</w:t>
              </w:r>
              <w:r>
                <w:rPr>
                  <w:rFonts w:hint="eastAsia" w:ascii="黑体" w:hAnsi="黑体" w:eastAsia="黑体" w:cstheme="majorBidi"/>
                </w:rPr>
                <w:t>般公共预算财政拨款支出决算情况说明</w:t>
              </w:r>
            </w:sdtContent>
          </w:sdt>
          <w:r>
            <w:tab/>
          </w:r>
          <w:bookmarkStart w:id="23" w:name="_Toc580365366_WPSOffice_Level2Page"/>
          <w:r>
            <w:t>12</w:t>
          </w:r>
          <w:bookmarkEnd w:id="23"/>
          <w:r>
            <w:fldChar w:fldCharType="end"/>
          </w:r>
        </w:p>
        <w:p>
          <w:pPr>
            <w:pStyle w:val="33"/>
            <w:tabs>
              <w:tab w:val="right" w:leader="dot" w:pos="8788"/>
            </w:tabs>
          </w:pPr>
          <w:r>
            <w:fldChar w:fldCharType="begin"/>
          </w:r>
          <w:r>
            <w:instrText xml:space="preserve"> HYPERLINK \l _Toc854237424_WPSOffice_Level3 </w:instrText>
          </w:r>
          <w:r>
            <w:fldChar w:fldCharType="separate"/>
          </w:r>
          <w:sdt>
            <w:sdtPr>
              <w:rPr>
                <w:rFonts w:ascii="Times New Roman" w:hAnsi="Times New Roman" w:eastAsia="宋体" w:cs="Times New Roman"/>
                <w:kern w:val="2"/>
                <w:sz w:val="21"/>
                <w:szCs w:val="24"/>
                <w:lang w:val="en-US" w:eastAsia="zh-CN" w:bidi="ar-SA"/>
              </w:rPr>
              <w:id w:val="501944349"/>
              <w:placeholder>
                <w:docPart w:val="{44d92fff-4b92-4b2b-ba6e-7df76b3bbbf9}"/>
              </w:placeholder>
            </w:sdtPr>
            <w:sdtEndPr>
              <w:rPr>
                <w:rFonts w:ascii="Times New Roman" w:hAnsi="Times New Roman" w:eastAsia="宋体" w:cs="Times New Roman"/>
                <w:kern w:val="2"/>
                <w:sz w:val="21"/>
                <w:szCs w:val="24"/>
                <w:lang w:val="en-US" w:eastAsia="zh-CN" w:bidi="ar-SA"/>
              </w:rPr>
            </w:sdtEndPr>
            <w:sdtContent>
              <w:r>
                <w:rPr>
                  <w:rFonts w:hint="eastAsia" w:ascii="仿宋" w:hAnsi="仿宋" w:eastAsia="仿宋" w:cs="Times New Roman"/>
                </w:rPr>
                <w:t>（一）一般公共预算财政拨款支出决算总体情况</w:t>
              </w:r>
            </w:sdtContent>
          </w:sdt>
          <w:r>
            <w:tab/>
          </w:r>
          <w:bookmarkStart w:id="24" w:name="_Toc854237424_WPSOffice_Level3Page"/>
          <w:r>
            <w:t>12</w:t>
          </w:r>
          <w:bookmarkEnd w:id="24"/>
          <w:r>
            <w:fldChar w:fldCharType="end"/>
          </w:r>
        </w:p>
        <w:p>
          <w:pPr>
            <w:pStyle w:val="33"/>
            <w:tabs>
              <w:tab w:val="right" w:leader="dot" w:pos="8788"/>
            </w:tabs>
          </w:pPr>
          <w:r>
            <w:fldChar w:fldCharType="begin"/>
          </w:r>
          <w:r>
            <w:instrText xml:space="preserve"> HYPERLINK \l _Toc718182856_WPSOffice_Level3 </w:instrText>
          </w:r>
          <w:r>
            <w:fldChar w:fldCharType="separate"/>
          </w:r>
          <w:sdt>
            <w:sdtPr>
              <w:rPr>
                <w:rFonts w:ascii="Times New Roman" w:hAnsi="Times New Roman" w:eastAsia="宋体" w:cs="Times New Roman"/>
                <w:kern w:val="2"/>
                <w:sz w:val="21"/>
                <w:szCs w:val="24"/>
                <w:lang w:val="en-US" w:eastAsia="zh-CN" w:bidi="ar-SA"/>
              </w:rPr>
              <w:id w:val="501944349"/>
              <w:placeholder>
                <w:docPart w:val="{16cf712e-5800-4bf5-ab22-e342a46b2e1a}"/>
              </w:placeholder>
            </w:sdtPr>
            <w:sdtEndPr>
              <w:rPr>
                <w:rFonts w:ascii="Times New Roman" w:hAnsi="Times New Roman" w:eastAsia="宋体" w:cs="Times New Roman"/>
                <w:kern w:val="2"/>
                <w:sz w:val="21"/>
                <w:szCs w:val="24"/>
                <w:lang w:val="en-US" w:eastAsia="zh-CN" w:bidi="ar-SA"/>
              </w:rPr>
            </w:sdtEndPr>
            <w:sdtContent>
              <w:r>
                <w:rPr>
                  <w:rFonts w:hint="eastAsia" w:ascii="仿宋" w:hAnsi="仿宋" w:eastAsia="仿宋" w:cs="Times New Roman"/>
                </w:rPr>
                <w:t>（二）一般公共预算财政拨款支出决算结构情况</w:t>
              </w:r>
            </w:sdtContent>
          </w:sdt>
          <w:r>
            <w:tab/>
          </w:r>
          <w:bookmarkStart w:id="25" w:name="_Toc718182856_WPSOffice_Level3Page"/>
          <w:r>
            <w:t>13</w:t>
          </w:r>
          <w:bookmarkEnd w:id="25"/>
          <w:r>
            <w:fldChar w:fldCharType="end"/>
          </w:r>
        </w:p>
        <w:p>
          <w:pPr>
            <w:pStyle w:val="33"/>
            <w:tabs>
              <w:tab w:val="right" w:leader="dot" w:pos="8788"/>
            </w:tabs>
          </w:pPr>
          <w:r>
            <w:fldChar w:fldCharType="begin"/>
          </w:r>
          <w:r>
            <w:instrText xml:space="preserve"> HYPERLINK \l _Toc1763674126_WPSOffice_Level3 </w:instrText>
          </w:r>
          <w:r>
            <w:fldChar w:fldCharType="separate"/>
          </w:r>
          <w:sdt>
            <w:sdtPr>
              <w:rPr>
                <w:rFonts w:ascii="Times New Roman" w:hAnsi="Times New Roman" w:eastAsia="宋体" w:cs="Times New Roman"/>
                <w:kern w:val="2"/>
                <w:sz w:val="21"/>
                <w:szCs w:val="24"/>
                <w:lang w:val="en-US" w:eastAsia="zh-CN" w:bidi="ar-SA"/>
              </w:rPr>
              <w:id w:val="501944349"/>
              <w:placeholder>
                <w:docPart w:val="{3c453ef3-0df1-498c-8963-80098fbf597f}"/>
              </w:placeholder>
            </w:sdtPr>
            <w:sdtEndPr>
              <w:rPr>
                <w:rFonts w:ascii="Times New Roman" w:hAnsi="Times New Roman" w:eastAsia="宋体" w:cs="Times New Roman"/>
                <w:kern w:val="2"/>
                <w:sz w:val="21"/>
                <w:szCs w:val="24"/>
                <w:lang w:val="en-US" w:eastAsia="zh-CN" w:bidi="ar-SA"/>
              </w:rPr>
            </w:sdtEndPr>
            <w:sdtContent>
              <w:r>
                <w:rPr>
                  <w:rFonts w:hint="eastAsia" w:ascii="仿宋" w:hAnsi="仿宋" w:eastAsia="仿宋" w:cs="Times New Roman"/>
                </w:rPr>
                <w:t>（三）一般公共预算财政拨款支出决算具体情况</w:t>
              </w:r>
            </w:sdtContent>
          </w:sdt>
          <w:r>
            <w:tab/>
          </w:r>
          <w:bookmarkStart w:id="26" w:name="_Toc1763674126_WPSOffice_Level3Page"/>
          <w:r>
            <w:t>14</w:t>
          </w:r>
          <w:bookmarkEnd w:id="26"/>
          <w:r>
            <w:fldChar w:fldCharType="end"/>
          </w:r>
        </w:p>
        <w:p>
          <w:pPr>
            <w:pStyle w:val="32"/>
            <w:tabs>
              <w:tab w:val="right" w:leader="dot" w:pos="8788"/>
            </w:tabs>
          </w:pPr>
          <w:r>
            <w:fldChar w:fldCharType="begin"/>
          </w:r>
          <w:r>
            <w:instrText xml:space="preserve"> HYPERLINK \l _Toc420866798_WPSOffice_Level2 </w:instrText>
          </w:r>
          <w:r>
            <w:fldChar w:fldCharType="separate"/>
          </w:r>
          <w:sdt>
            <w:sdtPr>
              <w:rPr>
                <w:rFonts w:ascii="Times New Roman" w:hAnsi="Times New Roman" w:eastAsia="宋体" w:cs="Times New Roman"/>
                <w:kern w:val="2"/>
                <w:sz w:val="21"/>
                <w:szCs w:val="24"/>
                <w:lang w:val="en-US" w:eastAsia="zh-CN" w:bidi="ar-SA"/>
              </w:rPr>
              <w:id w:val="501944349"/>
              <w:placeholder>
                <w:docPart w:val="{ed4cc268-751b-4c68-8a6c-32a3f5b242d6}"/>
              </w:placeholder>
            </w:sdtPr>
            <w:sdtEndPr>
              <w:rPr>
                <w:rFonts w:ascii="Times New Roman" w:hAnsi="Times New Roman" w:eastAsia="宋体" w:cs="Times New Roman"/>
                <w:kern w:val="2"/>
                <w:sz w:val="21"/>
                <w:szCs w:val="24"/>
                <w:lang w:val="en-US" w:eastAsia="zh-CN" w:bidi="ar-SA"/>
              </w:rPr>
            </w:sdtEndPr>
            <w:sdtContent>
              <w:r>
                <w:rPr>
                  <w:rFonts w:hint="eastAsia" w:ascii="黑体" w:hAnsi="Times New Roman" w:eastAsia="黑体" w:cs="Times New Roman"/>
                </w:rPr>
                <w:t>六、</w:t>
              </w:r>
              <w:r>
                <w:rPr>
                  <w:rFonts w:hint="eastAsia" w:ascii="黑体" w:hAnsi="黑体" w:eastAsia="黑体" w:cs="Times New Roman"/>
                </w:rPr>
                <w:t>一</w:t>
              </w:r>
              <w:r>
                <w:rPr>
                  <w:rFonts w:hint="eastAsia" w:ascii="黑体" w:hAnsi="黑体" w:eastAsia="黑体" w:cstheme="majorBidi"/>
                </w:rPr>
                <w:t>般公共预算财政拨款基本支出决算情况说明</w:t>
              </w:r>
            </w:sdtContent>
          </w:sdt>
          <w:r>
            <w:tab/>
          </w:r>
          <w:bookmarkStart w:id="27" w:name="_Toc420866798_WPSOffice_Level2Page"/>
          <w:r>
            <w:t>15</w:t>
          </w:r>
          <w:bookmarkEnd w:id="27"/>
          <w:r>
            <w:fldChar w:fldCharType="end"/>
          </w:r>
        </w:p>
        <w:p>
          <w:pPr>
            <w:pStyle w:val="32"/>
            <w:tabs>
              <w:tab w:val="right" w:leader="dot" w:pos="8788"/>
            </w:tabs>
          </w:pPr>
          <w:r>
            <w:fldChar w:fldCharType="begin"/>
          </w:r>
          <w:r>
            <w:instrText xml:space="preserve"> HYPERLINK \l _Toc187644787_WPSOffice_Level2 </w:instrText>
          </w:r>
          <w:r>
            <w:fldChar w:fldCharType="separate"/>
          </w:r>
          <w:sdt>
            <w:sdtPr>
              <w:rPr>
                <w:rFonts w:ascii="Times New Roman" w:hAnsi="Times New Roman" w:eastAsia="宋体" w:cs="Times New Roman"/>
                <w:kern w:val="2"/>
                <w:sz w:val="21"/>
                <w:szCs w:val="24"/>
                <w:lang w:val="en-US" w:eastAsia="zh-CN" w:bidi="ar-SA"/>
              </w:rPr>
              <w:id w:val="501944349"/>
              <w:placeholder>
                <w:docPart w:val="{cf989eab-db38-4cfe-aac9-7f7c5a842b18}"/>
              </w:placeholder>
            </w:sdtPr>
            <w:sdtEndPr>
              <w:rPr>
                <w:rFonts w:ascii="Times New Roman" w:hAnsi="Times New Roman" w:eastAsia="宋体" w:cs="Times New Roman"/>
                <w:kern w:val="2"/>
                <w:sz w:val="21"/>
                <w:szCs w:val="24"/>
                <w:lang w:val="en-US" w:eastAsia="zh-CN" w:bidi="ar-SA"/>
              </w:rPr>
            </w:sdtEndPr>
            <w:sdtContent>
              <w:r>
                <w:rPr>
                  <w:rFonts w:hint="eastAsia" w:ascii="黑体" w:hAnsi="黑体" w:eastAsia="黑体" w:cstheme="majorBidi"/>
                </w:rPr>
                <w:t xml:space="preserve">七、 </w:t>
              </w:r>
              <w:r>
                <w:rPr>
                  <w:rFonts w:hint="eastAsia" w:ascii="黑体" w:hAnsi="黑体" w:eastAsia="黑体" w:cs="Times New Roman"/>
                </w:rPr>
                <w:t>一</w:t>
              </w:r>
              <w:r>
                <w:rPr>
                  <w:rFonts w:hint="eastAsia" w:ascii="黑体" w:hAnsi="黑体" w:eastAsia="黑体" w:cstheme="majorBidi"/>
                </w:rPr>
                <w:t>般公共预算财政拨款项目支出决算情况说明</w:t>
              </w:r>
            </w:sdtContent>
          </w:sdt>
          <w:r>
            <w:tab/>
          </w:r>
          <w:bookmarkStart w:id="28" w:name="_Toc187644787_WPSOffice_Level2Page"/>
          <w:r>
            <w:t>15</w:t>
          </w:r>
          <w:bookmarkEnd w:id="28"/>
          <w:r>
            <w:fldChar w:fldCharType="end"/>
          </w:r>
        </w:p>
        <w:p>
          <w:pPr>
            <w:pStyle w:val="32"/>
            <w:tabs>
              <w:tab w:val="right" w:leader="dot" w:pos="8788"/>
            </w:tabs>
          </w:pPr>
          <w:r>
            <w:fldChar w:fldCharType="begin"/>
          </w:r>
          <w:r>
            <w:instrText xml:space="preserve"> HYPERLINK \l _Toc350575122_WPSOffice_Level2 </w:instrText>
          </w:r>
          <w:r>
            <w:fldChar w:fldCharType="separate"/>
          </w:r>
          <w:sdt>
            <w:sdtPr>
              <w:rPr>
                <w:rFonts w:ascii="Times New Roman" w:hAnsi="Times New Roman" w:eastAsia="宋体" w:cs="Times New Roman"/>
                <w:kern w:val="2"/>
                <w:sz w:val="21"/>
                <w:szCs w:val="24"/>
                <w:lang w:val="en-US" w:eastAsia="zh-CN" w:bidi="ar-SA"/>
              </w:rPr>
              <w:id w:val="501944349"/>
              <w:placeholder>
                <w:docPart w:val="{9201f842-ddcf-4c78-8a09-8dd29acf0ac8}"/>
              </w:placeholder>
            </w:sdtPr>
            <w:sdtEndPr>
              <w:rPr>
                <w:rFonts w:ascii="Times New Roman" w:hAnsi="Times New Roman" w:eastAsia="宋体" w:cs="Times New Roman"/>
                <w:kern w:val="2"/>
                <w:sz w:val="21"/>
                <w:szCs w:val="24"/>
                <w:lang w:val="en-US" w:eastAsia="zh-CN" w:bidi="ar-SA"/>
              </w:rPr>
            </w:sdtEndPr>
            <w:sdtContent>
              <w:r>
                <w:rPr>
                  <w:rFonts w:hint="eastAsia" w:ascii="黑体" w:hAnsi="Times New Roman" w:eastAsia="黑体" w:cs="Times New Roman"/>
                </w:rPr>
                <w:t>八、</w:t>
              </w:r>
              <w:r>
                <w:rPr>
                  <w:rFonts w:hint="eastAsia" w:ascii="黑体" w:hAnsi="黑体" w:eastAsia="黑体" w:cstheme="majorBidi"/>
                </w:rPr>
                <w:t>“三公”经费财政拨款支出决算情况说明</w:t>
              </w:r>
            </w:sdtContent>
          </w:sdt>
          <w:r>
            <w:tab/>
          </w:r>
          <w:bookmarkStart w:id="29" w:name="_Toc350575122_WPSOffice_Level2Page"/>
          <w:r>
            <w:t>16</w:t>
          </w:r>
          <w:bookmarkEnd w:id="29"/>
          <w:r>
            <w:fldChar w:fldCharType="end"/>
          </w:r>
        </w:p>
        <w:p>
          <w:pPr>
            <w:pStyle w:val="33"/>
            <w:tabs>
              <w:tab w:val="right" w:leader="dot" w:pos="8788"/>
            </w:tabs>
          </w:pPr>
          <w:r>
            <w:fldChar w:fldCharType="begin"/>
          </w:r>
          <w:r>
            <w:instrText xml:space="preserve"> HYPERLINK \l _Toc455772242_WPSOffice_Level3 </w:instrText>
          </w:r>
          <w:r>
            <w:fldChar w:fldCharType="separate"/>
          </w:r>
          <w:sdt>
            <w:sdtPr>
              <w:rPr>
                <w:rFonts w:ascii="Times New Roman" w:hAnsi="Times New Roman" w:eastAsia="宋体" w:cs="Times New Roman"/>
                <w:kern w:val="2"/>
                <w:sz w:val="21"/>
                <w:szCs w:val="24"/>
                <w:lang w:val="en-US" w:eastAsia="zh-CN" w:bidi="ar-SA"/>
              </w:rPr>
              <w:id w:val="501944349"/>
              <w:placeholder>
                <w:docPart w:val="{8782b984-c886-4148-bd9c-e1960e80bcac}"/>
              </w:placeholder>
            </w:sdtPr>
            <w:sdtEndPr>
              <w:rPr>
                <w:rFonts w:ascii="Times New Roman" w:hAnsi="Times New Roman" w:eastAsia="宋体" w:cs="Times New Roman"/>
                <w:kern w:val="2"/>
                <w:sz w:val="21"/>
                <w:szCs w:val="24"/>
                <w:lang w:val="en-US" w:eastAsia="zh-CN" w:bidi="ar-SA"/>
              </w:rPr>
            </w:sdtEndPr>
            <w:sdtContent>
              <w:r>
                <w:rPr>
                  <w:rFonts w:hint="eastAsia" w:ascii="仿宋" w:hAnsi="仿宋" w:eastAsia="仿宋" w:cs="Times New Roman"/>
                </w:rPr>
                <w:t>（一）“三公”经费财政拨款支出决算总体情况说明</w:t>
              </w:r>
            </w:sdtContent>
          </w:sdt>
          <w:r>
            <w:tab/>
          </w:r>
          <w:bookmarkStart w:id="30" w:name="_Toc455772242_WPSOffice_Level3Page"/>
          <w:r>
            <w:t>16</w:t>
          </w:r>
          <w:bookmarkEnd w:id="30"/>
          <w:r>
            <w:fldChar w:fldCharType="end"/>
          </w:r>
        </w:p>
        <w:p>
          <w:pPr>
            <w:pStyle w:val="33"/>
            <w:tabs>
              <w:tab w:val="right" w:leader="dot" w:pos="8788"/>
            </w:tabs>
          </w:pPr>
          <w:r>
            <w:fldChar w:fldCharType="begin"/>
          </w:r>
          <w:r>
            <w:instrText xml:space="preserve"> HYPERLINK \l _Toc580365366_WPSOffice_Level3 </w:instrText>
          </w:r>
          <w:r>
            <w:fldChar w:fldCharType="separate"/>
          </w:r>
          <w:sdt>
            <w:sdtPr>
              <w:rPr>
                <w:rFonts w:ascii="Times New Roman" w:hAnsi="Times New Roman" w:eastAsia="宋体" w:cs="Times New Roman"/>
                <w:kern w:val="2"/>
                <w:sz w:val="21"/>
                <w:szCs w:val="24"/>
                <w:lang w:val="en-US" w:eastAsia="zh-CN" w:bidi="ar-SA"/>
              </w:rPr>
              <w:id w:val="501944349"/>
              <w:placeholder>
                <w:docPart w:val="{6539c432-0f62-4a8b-82a0-7edbbb5cdaf9}"/>
              </w:placeholder>
            </w:sdtPr>
            <w:sdtEndPr>
              <w:rPr>
                <w:rFonts w:ascii="Times New Roman" w:hAnsi="Times New Roman" w:eastAsia="宋体" w:cs="Times New Roman"/>
                <w:kern w:val="2"/>
                <w:sz w:val="21"/>
                <w:szCs w:val="24"/>
                <w:lang w:val="en-US" w:eastAsia="zh-CN" w:bidi="ar-SA"/>
              </w:rPr>
            </w:sdtEndPr>
            <w:sdtContent>
              <w:r>
                <w:rPr>
                  <w:rFonts w:hint="eastAsia" w:ascii="仿宋" w:hAnsi="仿宋" w:eastAsia="仿宋" w:cs="Times New Roman"/>
                </w:rPr>
                <w:t>（二）“三公”经费财政拨款支出决算具体情况说明</w:t>
              </w:r>
            </w:sdtContent>
          </w:sdt>
          <w:r>
            <w:tab/>
          </w:r>
          <w:bookmarkStart w:id="31" w:name="_Toc580365366_WPSOffice_Level3Page"/>
          <w:r>
            <w:t>16</w:t>
          </w:r>
          <w:bookmarkEnd w:id="31"/>
          <w:r>
            <w:fldChar w:fldCharType="end"/>
          </w:r>
        </w:p>
        <w:p>
          <w:pPr>
            <w:pStyle w:val="32"/>
            <w:tabs>
              <w:tab w:val="right" w:leader="dot" w:pos="8788"/>
            </w:tabs>
          </w:pPr>
          <w:r>
            <w:fldChar w:fldCharType="begin"/>
          </w:r>
          <w:r>
            <w:instrText xml:space="preserve"> HYPERLINK \l _Toc1483848794_WPSOffice_Level2 </w:instrText>
          </w:r>
          <w:r>
            <w:fldChar w:fldCharType="separate"/>
          </w:r>
          <w:sdt>
            <w:sdtPr>
              <w:rPr>
                <w:rFonts w:ascii="Times New Roman" w:hAnsi="Times New Roman" w:eastAsia="宋体" w:cs="Times New Roman"/>
                <w:kern w:val="2"/>
                <w:sz w:val="21"/>
                <w:szCs w:val="24"/>
                <w:lang w:val="en-US" w:eastAsia="zh-CN" w:bidi="ar-SA"/>
              </w:rPr>
              <w:id w:val="501944349"/>
              <w:placeholder>
                <w:docPart w:val="{4e138653-4590-4c24-9404-f342eb5dd01b}"/>
              </w:placeholder>
            </w:sdtPr>
            <w:sdtEndPr>
              <w:rPr>
                <w:rFonts w:ascii="Times New Roman" w:hAnsi="Times New Roman" w:eastAsia="宋体" w:cs="Times New Roman"/>
                <w:kern w:val="2"/>
                <w:sz w:val="21"/>
                <w:szCs w:val="24"/>
                <w:lang w:val="en-US" w:eastAsia="zh-CN" w:bidi="ar-SA"/>
              </w:rPr>
            </w:sdtEndPr>
            <w:sdtContent>
              <w:r>
                <w:rPr>
                  <w:rFonts w:hint="eastAsia" w:ascii="黑体" w:hAnsi="Times New Roman" w:eastAsia="黑体" w:cs="Times New Roman"/>
                </w:rPr>
                <w:t>九、</w:t>
              </w:r>
              <w:r>
                <w:rPr>
                  <w:rFonts w:hint="eastAsia" w:ascii="黑体" w:hAnsi="黑体" w:eastAsia="黑体" w:cstheme="majorBidi"/>
                </w:rPr>
                <w:t>政府性基金预算支出决算情况说明</w:t>
              </w:r>
            </w:sdtContent>
          </w:sdt>
          <w:r>
            <w:tab/>
          </w:r>
          <w:bookmarkStart w:id="32" w:name="_Toc1483848794_WPSOffice_Level2Page"/>
          <w:r>
            <w:t>18</w:t>
          </w:r>
          <w:bookmarkEnd w:id="32"/>
          <w:r>
            <w:fldChar w:fldCharType="end"/>
          </w:r>
        </w:p>
        <w:p>
          <w:pPr>
            <w:pStyle w:val="32"/>
            <w:tabs>
              <w:tab w:val="right" w:leader="dot" w:pos="8788"/>
            </w:tabs>
          </w:pPr>
          <w:r>
            <w:fldChar w:fldCharType="begin"/>
          </w:r>
          <w:r>
            <w:instrText xml:space="preserve"> HYPERLINK \l _Toc597395485_WPSOffice_Level2 </w:instrText>
          </w:r>
          <w:r>
            <w:fldChar w:fldCharType="separate"/>
          </w:r>
          <w:sdt>
            <w:sdtPr>
              <w:rPr>
                <w:rFonts w:ascii="Times New Roman" w:hAnsi="Times New Roman" w:eastAsia="宋体" w:cs="Times New Roman"/>
                <w:kern w:val="2"/>
                <w:sz w:val="21"/>
                <w:szCs w:val="24"/>
                <w:lang w:val="en-US" w:eastAsia="zh-CN" w:bidi="ar-SA"/>
              </w:rPr>
              <w:id w:val="501944349"/>
              <w:placeholder>
                <w:docPart w:val="{a5d9f11f-2910-4ecf-a936-811becf8e48f}"/>
              </w:placeholder>
            </w:sdtPr>
            <w:sdtEndPr>
              <w:rPr>
                <w:rFonts w:ascii="Times New Roman" w:hAnsi="Times New Roman" w:eastAsia="宋体" w:cs="Times New Roman"/>
                <w:kern w:val="2"/>
                <w:sz w:val="21"/>
                <w:szCs w:val="24"/>
                <w:lang w:val="en-US" w:eastAsia="zh-CN" w:bidi="ar-SA"/>
              </w:rPr>
            </w:sdtEndPr>
            <w:sdtContent>
              <w:r>
                <w:rPr>
                  <w:rFonts w:hint="eastAsia" w:ascii="黑体" w:hAnsi="黑体" w:eastAsia="黑体" w:cstheme="majorBidi"/>
                </w:rPr>
                <w:t>十、国有资本经营预算支出决算情况说明</w:t>
              </w:r>
            </w:sdtContent>
          </w:sdt>
          <w:r>
            <w:tab/>
          </w:r>
          <w:bookmarkStart w:id="33" w:name="_Toc597395485_WPSOffice_Level2Page"/>
          <w:r>
            <w:t>18</w:t>
          </w:r>
          <w:bookmarkEnd w:id="33"/>
          <w:r>
            <w:fldChar w:fldCharType="end"/>
          </w:r>
        </w:p>
        <w:p>
          <w:pPr>
            <w:pStyle w:val="32"/>
            <w:tabs>
              <w:tab w:val="right" w:leader="dot" w:pos="8788"/>
            </w:tabs>
          </w:pPr>
          <w:r>
            <w:fldChar w:fldCharType="begin"/>
          </w:r>
          <w:r>
            <w:instrText xml:space="preserve"> HYPERLINK \l _Toc1367350056_WPSOffice_Level2 </w:instrText>
          </w:r>
          <w:r>
            <w:fldChar w:fldCharType="separate"/>
          </w:r>
          <w:sdt>
            <w:sdtPr>
              <w:rPr>
                <w:rFonts w:ascii="Times New Roman" w:hAnsi="Times New Roman" w:eastAsia="宋体" w:cs="Times New Roman"/>
                <w:kern w:val="2"/>
                <w:sz w:val="21"/>
                <w:szCs w:val="24"/>
                <w:lang w:val="en-US" w:eastAsia="zh-CN" w:bidi="ar-SA"/>
              </w:rPr>
              <w:id w:val="501944349"/>
              <w:placeholder>
                <w:docPart w:val="{bb996914-e31f-433f-b9eb-004a0f7872c2}"/>
              </w:placeholder>
            </w:sdtPr>
            <w:sdtEndPr>
              <w:rPr>
                <w:rFonts w:ascii="Times New Roman" w:hAnsi="Times New Roman" w:eastAsia="宋体" w:cs="Times New Roman"/>
                <w:kern w:val="2"/>
                <w:sz w:val="21"/>
                <w:szCs w:val="24"/>
                <w:lang w:val="en-US" w:eastAsia="zh-CN" w:bidi="ar-SA"/>
              </w:rPr>
            </w:sdtEndPr>
            <w:sdtContent>
              <w:r>
                <w:rPr>
                  <w:rFonts w:hint="eastAsia" w:ascii="黑体" w:hAnsi="黑体" w:eastAsia="黑体" w:cs="Times New Roman"/>
                </w:rPr>
                <w:t>十一</w:t>
              </w:r>
              <w:r>
                <w:rPr>
                  <w:rFonts w:hint="eastAsia" w:ascii="黑体" w:hAnsi="黑体" w:eastAsia="黑体" w:cstheme="majorBidi"/>
                </w:rPr>
                <w:t>、其他重要事项的情况说明</w:t>
              </w:r>
            </w:sdtContent>
          </w:sdt>
          <w:r>
            <w:tab/>
          </w:r>
          <w:bookmarkStart w:id="34" w:name="_Toc1367350056_WPSOffice_Level2Page"/>
          <w:r>
            <w:t>18</w:t>
          </w:r>
          <w:bookmarkEnd w:id="34"/>
          <w:r>
            <w:fldChar w:fldCharType="end"/>
          </w:r>
        </w:p>
        <w:p>
          <w:pPr>
            <w:pStyle w:val="33"/>
            <w:tabs>
              <w:tab w:val="right" w:leader="dot" w:pos="8788"/>
            </w:tabs>
          </w:pPr>
          <w:r>
            <w:fldChar w:fldCharType="begin"/>
          </w:r>
          <w:r>
            <w:instrText xml:space="preserve"> HYPERLINK \l _Toc420866798_WPSOffice_Level3 </w:instrText>
          </w:r>
          <w:r>
            <w:fldChar w:fldCharType="separate"/>
          </w:r>
          <w:sdt>
            <w:sdtPr>
              <w:rPr>
                <w:rFonts w:ascii="Times New Roman" w:hAnsi="Times New Roman" w:eastAsia="宋体" w:cs="Times New Roman"/>
                <w:kern w:val="2"/>
                <w:sz w:val="21"/>
                <w:szCs w:val="24"/>
                <w:lang w:val="en-US" w:eastAsia="zh-CN" w:bidi="ar-SA"/>
              </w:rPr>
              <w:id w:val="501944349"/>
              <w:placeholder>
                <w:docPart w:val="{7788fd3f-19dd-420e-af7a-9f18a7108a15}"/>
              </w:placeholder>
            </w:sdtPr>
            <w:sdtEndPr>
              <w:rPr>
                <w:rFonts w:ascii="Times New Roman" w:hAnsi="Times New Roman" w:eastAsia="宋体" w:cs="Times New Roman"/>
                <w:kern w:val="2"/>
                <w:sz w:val="21"/>
                <w:szCs w:val="24"/>
                <w:lang w:val="en-US" w:eastAsia="zh-CN" w:bidi="ar-SA"/>
              </w:rPr>
            </w:sdtEndPr>
            <w:sdtContent>
              <w:r>
                <w:rPr>
                  <w:rFonts w:hint="eastAsia" w:ascii="仿宋" w:hAnsi="仿宋" w:eastAsia="仿宋" w:cs="Times New Roman"/>
                </w:rPr>
                <w:t>（一）机关运行经费支出情况</w:t>
              </w:r>
            </w:sdtContent>
          </w:sdt>
          <w:r>
            <w:tab/>
          </w:r>
          <w:bookmarkStart w:id="35" w:name="_Toc420866798_WPSOffice_Level3Page"/>
          <w:r>
            <w:t>18</w:t>
          </w:r>
          <w:bookmarkEnd w:id="35"/>
          <w:r>
            <w:fldChar w:fldCharType="end"/>
          </w:r>
        </w:p>
        <w:p>
          <w:pPr>
            <w:pStyle w:val="33"/>
            <w:tabs>
              <w:tab w:val="right" w:leader="dot" w:pos="8788"/>
            </w:tabs>
          </w:pPr>
          <w:r>
            <w:fldChar w:fldCharType="begin"/>
          </w:r>
          <w:r>
            <w:instrText xml:space="preserve"> HYPERLINK \l _Toc187644787_WPSOffice_Level3 </w:instrText>
          </w:r>
          <w:r>
            <w:fldChar w:fldCharType="separate"/>
          </w:r>
          <w:sdt>
            <w:sdtPr>
              <w:rPr>
                <w:rFonts w:ascii="Times New Roman" w:hAnsi="Times New Roman" w:eastAsia="宋体" w:cs="Times New Roman"/>
                <w:kern w:val="2"/>
                <w:sz w:val="21"/>
                <w:szCs w:val="24"/>
                <w:lang w:val="en-US" w:eastAsia="zh-CN" w:bidi="ar-SA"/>
              </w:rPr>
              <w:id w:val="501944349"/>
              <w:placeholder>
                <w:docPart w:val="{1b10e0a0-8ef2-4294-86f2-6825ff7ff8e5}"/>
              </w:placeholder>
            </w:sdtPr>
            <w:sdtEndPr>
              <w:rPr>
                <w:rFonts w:ascii="Times New Roman" w:hAnsi="Times New Roman" w:eastAsia="宋体" w:cs="Times New Roman"/>
                <w:kern w:val="2"/>
                <w:sz w:val="21"/>
                <w:szCs w:val="24"/>
                <w:lang w:val="en-US" w:eastAsia="zh-CN" w:bidi="ar-SA"/>
              </w:rPr>
            </w:sdtEndPr>
            <w:sdtContent>
              <w:r>
                <w:rPr>
                  <w:rFonts w:hint="eastAsia" w:ascii="仿宋" w:hAnsi="仿宋" w:eastAsia="仿宋" w:cs="Times New Roman"/>
                </w:rPr>
                <w:t>（二）政府采购支出情况</w:t>
              </w:r>
            </w:sdtContent>
          </w:sdt>
          <w:r>
            <w:tab/>
          </w:r>
          <w:bookmarkStart w:id="36" w:name="_Toc187644787_WPSOffice_Level3Page"/>
          <w:r>
            <w:t>18</w:t>
          </w:r>
          <w:bookmarkEnd w:id="36"/>
          <w:r>
            <w:fldChar w:fldCharType="end"/>
          </w:r>
        </w:p>
        <w:p>
          <w:pPr>
            <w:pStyle w:val="33"/>
            <w:tabs>
              <w:tab w:val="right" w:leader="dot" w:pos="8788"/>
            </w:tabs>
          </w:pPr>
          <w:r>
            <w:fldChar w:fldCharType="begin"/>
          </w:r>
          <w:r>
            <w:instrText xml:space="preserve"> HYPERLINK \l _Toc350575122_WPSOffice_Level3 </w:instrText>
          </w:r>
          <w:r>
            <w:fldChar w:fldCharType="separate"/>
          </w:r>
          <w:sdt>
            <w:sdtPr>
              <w:rPr>
                <w:rFonts w:ascii="Times New Roman" w:hAnsi="Times New Roman" w:eastAsia="宋体" w:cs="Times New Roman"/>
                <w:kern w:val="2"/>
                <w:sz w:val="21"/>
                <w:szCs w:val="24"/>
                <w:lang w:val="en-US" w:eastAsia="zh-CN" w:bidi="ar-SA"/>
              </w:rPr>
              <w:id w:val="501944349"/>
              <w:placeholder>
                <w:docPart w:val="{b0e9f20d-9b5a-42f8-ac63-08c821dcf97d}"/>
              </w:placeholder>
            </w:sdtPr>
            <w:sdtEndPr>
              <w:rPr>
                <w:rFonts w:ascii="Times New Roman" w:hAnsi="Times New Roman" w:eastAsia="宋体" w:cs="Times New Roman"/>
                <w:kern w:val="2"/>
                <w:sz w:val="21"/>
                <w:szCs w:val="24"/>
                <w:lang w:val="en-US" w:eastAsia="zh-CN" w:bidi="ar-SA"/>
              </w:rPr>
            </w:sdtEndPr>
            <w:sdtContent>
              <w:r>
                <w:rPr>
                  <w:rFonts w:hint="eastAsia" w:ascii="仿宋" w:hAnsi="仿宋" w:eastAsia="仿宋" w:cs="Times New Roman"/>
                </w:rPr>
                <w:t>（三）国有资产占有使用情况</w:t>
              </w:r>
            </w:sdtContent>
          </w:sdt>
          <w:r>
            <w:tab/>
          </w:r>
          <w:bookmarkStart w:id="37" w:name="_Toc350575122_WPSOffice_Level3Page"/>
          <w:r>
            <w:t>18</w:t>
          </w:r>
          <w:bookmarkEnd w:id="37"/>
          <w:r>
            <w:fldChar w:fldCharType="end"/>
          </w:r>
        </w:p>
        <w:p>
          <w:pPr>
            <w:pStyle w:val="33"/>
            <w:tabs>
              <w:tab w:val="right" w:leader="dot" w:pos="8788"/>
            </w:tabs>
          </w:pPr>
          <w:r>
            <w:fldChar w:fldCharType="begin"/>
          </w:r>
          <w:r>
            <w:instrText xml:space="preserve"> HYPERLINK \l _Toc1483848794_WPSOffice_Level3 </w:instrText>
          </w:r>
          <w:r>
            <w:fldChar w:fldCharType="separate"/>
          </w:r>
          <w:sdt>
            <w:sdtPr>
              <w:rPr>
                <w:rFonts w:ascii="Times New Roman" w:hAnsi="Times New Roman" w:eastAsia="宋体" w:cs="Times New Roman"/>
                <w:kern w:val="2"/>
                <w:sz w:val="21"/>
                <w:szCs w:val="24"/>
                <w:lang w:val="en-US" w:eastAsia="zh-CN" w:bidi="ar-SA"/>
              </w:rPr>
              <w:id w:val="501944349"/>
              <w:placeholder>
                <w:docPart w:val="{cf489ae5-87ac-444a-82ff-0fef0db56b08}"/>
              </w:placeholder>
            </w:sdtPr>
            <w:sdtEndPr>
              <w:rPr>
                <w:rFonts w:ascii="Times New Roman" w:hAnsi="Times New Roman" w:eastAsia="宋体" w:cs="Times New Roman"/>
                <w:kern w:val="2"/>
                <w:sz w:val="21"/>
                <w:szCs w:val="24"/>
                <w:lang w:val="en-US" w:eastAsia="zh-CN" w:bidi="ar-SA"/>
              </w:rPr>
            </w:sdtEndPr>
            <w:sdtContent>
              <w:r>
                <w:rPr>
                  <w:rFonts w:hint="eastAsia" w:ascii="仿宋" w:hAnsi="仿宋" w:eastAsia="仿宋" w:cs="Times New Roman"/>
                </w:rPr>
                <w:t>（四）预算绩效管理情况。</w:t>
              </w:r>
            </w:sdtContent>
          </w:sdt>
          <w:r>
            <w:tab/>
          </w:r>
          <w:bookmarkStart w:id="38" w:name="_Toc1483848794_WPSOffice_Level3Page"/>
          <w:r>
            <w:t>18</w:t>
          </w:r>
          <w:bookmarkEnd w:id="38"/>
          <w:r>
            <w:fldChar w:fldCharType="end"/>
          </w:r>
        </w:p>
        <w:p>
          <w:pPr>
            <w:pStyle w:val="31"/>
            <w:tabs>
              <w:tab w:val="right" w:leader="dot" w:pos="8788"/>
            </w:tabs>
          </w:pPr>
          <w:r>
            <w:fldChar w:fldCharType="begin"/>
          </w:r>
          <w:r>
            <w:instrText xml:space="preserve"> HYPERLINK \l _Toc580365366_WPSOffice_Level1 </w:instrText>
          </w:r>
          <w:r>
            <w:fldChar w:fldCharType="separate"/>
          </w:r>
          <w:sdt>
            <w:sdtPr>
              <w:rPr>
                <w:rFonts w:ascii="Times New Roman" w:hAnsi="Times New Roman" w:eastAsia="宋体" w:cs="Times New Roman"/>
                <w:kern w:val="2"/>
                <w:sz w:val="21"/>
                <w:szCs w:val="24"/>
                <w:lang w:val="en-US" w:eastAsia="zh-CN" w:bidi="ar-SA"/>
              </w:rPr>
              <w:id w:val="501944349"/>
              <w:placeholder>
                <w:docPart w:val="{45321cd6-fc8f-4ef4-990a-6cda6a6b0b38}"/>
              </w:placeholder>
            </w:sdtPr>
            <w:sdtEndPr>
              <w:rPr>
                <w:rFonts w:ascii="Times New Roman" w:hAnsi="Times New Roman" w:eastAsia="宋体" w:cs="Times New Roman"/>
                <w:kern w:val="2"/>
                <w:sz w:val="21"/>
                <w:szCs w:val="24"/>
                <w:lang w:val="en-US" w:eastAsia="zh-CN" w:bidi="ar-SA"/>
              </w:rPr>
            </w:sdtEndPr>
            <w:sdtContent>
              <w:r>
                <w:rPr>
                  <w:rFonts w:hint="eastAsia" w:ascii="黑体" w:hAnsi="黑体" w:eastAsia="黑体" w:cs="Times New Roman"/>
                </w:rPr>
                <w:t>第三部分 名词解释</w:t>
              </w:r>
            </w:sdtContent>
          </w:sdt>
          <w:r>
            <w:tab/>
          </w:r>
          <w:bookmarkStart w:id="39" w:name="_Toc580365366_WPSOffice_Level1Page"/>
          <w:r>
            <w:t>23</w:t>
          </w:r>
          <w:bookmarkEnd w:id="39"/>
          <w:r>
            <w:fldChar w:fldCharType="end"/>
          </w:r>
        </w:p>
        <w:p>
          <w:pPr>
            <w:pStyle w:val="31"/>
            <w:tabs>
              <w:tab w:val="right" w:leader="dot" w:pos="8788"/>
            </w:tabs>
          </w:pPr>
          <w:r>
            <w:fldChar w:fldCharType="begin"/>
          </w:r>
          <w:r>
            <w:instrText xml:space="preserve"> HYPERLINK \l _Toc420866798_WPSOffice_Level1 </w:instrText>
          </w:r>
          <w:r>
            <w:fldChar w:fldCharType="separate"/>
          </w:r>
          <w:sdt>
            <w:sdtPr>
              <w:rPr>
                <w:rFonts w:ascii="Times New Roman" w:hAnsi="Times New Roman" w:eastAsia="宋体" w:cs="Times New Roman"/>
                <w:kern w:val="2"/>
                <w:sz w:val="21"/>
                <w:szCs w:val="24"/>
                <w:lang w:val="en-US" w:eastAsia="zh-CN" w:bidi="ar-SA"/>
              </w:rPr>
              <w:id w:val="501944349"/>
              <w:placeholder>
                <w:docPart w:val="{1e6fe7fe-195b-4e10-a22d-d1a5808c77f9}"/>
              </w:placeholder>
            </w:sdtPr>
            <w:sdtEndPr>
              <w:rPr>
                <w:rFonts w:ascii="Times New Roman" w:hAnsi="Times New Roman" w:eastAsia="宋体" w:cs="Times New Roman"/>
                <w:kern w:val="2"/>
                <w:sz w:val="21"/>
                <w:szCs w:val="24"/>
                <w:lang w:val="en-US" w:eastAsia="zh-CN" w:bidi="ar-SA"/>
              </w:rPr>
            </w:sdtEndPr>
            <w:sdtContent>
              <w:r>
                <w:rPr>
                  <w:rFonts w:hint="eastAsia" w:ascii="黑体" w:hAnsi="黑体" w:eastAsia="黑体" w:cs="Times New Roman"/>
                </w:rPr>
                <w:t>第四部分 附件</w:t>
              </w:r>
            </w:sdtContent>
          </w:sdt>
          <w:r>
            <w:tab/>
          </w:r>
          <w:bookmarkStart w:id="40" w:name="_Toc420866798_WPSOffice_Level1Page"/>
          <w:r>
            <w:t>26</w:t>
          </w:r>
          <w:bookmarkEnd w:id="40"/>
          <w:r>
            <w:fldChar w:fldCharType="end"/>
          </w:r>
        </w:p>
        <w:p>
          <w:pPr>
            <w:pStyle w:val="32"/>
            <w:tabs>
              <w:tab w:val="right" w:leader="dot" w:pos="8788"/>
            </w:tabs>
            <w:ind w:left="0" w:leftChars="0" w:firstLine="0" w:firstLineChars="0"/>
          </w:pPr>
        </w:p>
        <w:p>
          <w:pPr>
            <w:pStyle w:val="32"/>
            <w:tabs>
              <w:tab w:val="right" w:leader="dot" w:pos="8788"/>
            </w:tabs>
          </w:pPr>
          <w:r>
            <w:fldChar w:fldCharType="begin"/>
          </w:r>
          <w:r>
            <w:instrText xml:space="preserve"> HYPERLINK \l _Toc1130828161_WPSOffice_Level2 </w:instrText>
          </w:r>
          <w:r>
            <w:fldChar w:fldCharType="separate"/>
          </w:r>
          <w:sdt>
            <w:sdtPr>
              <w:rPr>
                <w:rFonts w:ascii="Times New Roman" w:hAnsi="Times New Roman" w:eastAsia="宋体" w:cs="Times New Roman"/>
                <w:kern w:val="2"/>
                <w:sz w:val="21"/>
                <w:szCs w:val="24"/>
                <w:lang w:val="en-US" w:eastAsia="zh-CN" w:bidi="ar-SA"/>
              </w:rPr>
              <w:id w:val="501944349"/>
              <w:placeholder>
                <w:docPart w:val="{89708af5-7c96-4532-b12e-5bf322dafba3}"/>
              </w:placeholder>
            </w:sdtPr>
            <w:sdtEndPr>
              <w:rPr>
                <w:rFonts w:ascii="Times New Roman" w:hAnsi="Times New Roman" w:eastAsia="宋体" w:cs="Times New Roman"/>
                <w:kern w:val="2"/>
                <w:sz w:val="21"/>
                <w:szCs w:val="24"/>
                <w:lang w:val="en-US" w:eastAsia="zh-CN" w:bidi="ar-SA"/>
              </w:rPr>
            </w:sdtEndPr>
            <w:sdtContent>
              <w:r>
                <w:rPr>
                  <w:rFonts w:hint="eastAsia" w:ascii="方正小标宋_GBK" w:hAnsi="宋体" w:eastAsia="方正小标宋_GBK" w:cs="Times New Roman"/>
                </w:rPr>
                <w:t>2021年整体支出绩效自评报告</w:t>
              </w:r>
            </w:sdtContent>
          </w:sdt>
          <w:r>
            <w:tab/>
          </w:r>
          <w:bookmarkStart w:id="41" w:name="_Toc1130828161_WPSOffice_Level2Page"/>
          <w:r>
            <w:t>26</w:t>
          </w:r>
          <w:bookmarkEnd w:id="41"/>
          <w:r>
            <w:fldChar w:fldCharType="end"/>
          </w:r>
        </w:p>
        <w:p>
          <w:pPr>
            <w:pStyle w:val="32"/>
            <w:tabs>
              <w:tab w:val="right" w:leader="dot" w:pos="8788"/>
            </w:tabs>
          </w:pPr>
          <w:r>
            <w:fldChar w:fldCharType="begin"/>
          </w:r>
          <w:r>
            <w:instrText xml:space="preserve"> HYPERLINK \l _Toc695450858_WPSOffice_Level2 </w:instrText>
          </w:r>
          <w:r>
            <w:fldChar w:fldCharType="separate"/>
          </w:r>
          <w:sdt>
            <w:sdtPr>
              <w:rPr>
                <w:rFonts w:ascii="Times New Roman" w:hAnsi="Times New Roman" w:eastAsia="宋体" w:cs="Times New Roman"/>
                <w:kern w:val="2"/>
                <w:sz w:val="21"/>
                <w:szCs w:val="24"/>
                <w:lang w:val="en-US" w:eastAsia="zh-CN" w:bidi="ar-SA"/>
              </w:rPr>
              <w:id w:val="501944349"/>
              <w:placeholder>
                <w:docPart w:val="{f01f3b25-5a1c-4e35-b39f-edaa5a1b4a27}"/>
              </w:placeholder>
            </w:sdtPr>
            <w:sdtEndPr>
              <w:rPr>
                <w:rFonts w:ascii="Times New Roman" w:hAnsi="Times New Roman" w:eastAsia="宋体" w:cs="Times New Roman"/>
                <w:kern w:val="2"/>
                <w:sz w:val="21"/>
                <w:szCs w:val="24"/>
                <w:lang w:val="en-US" w:eastAsia="zh-CN" w:bidi="ar-SA"/>
              </w:rPr>
            </w:sdtEndPr>
            <w:sdtContent>
              <w:r>
                <w:rPr>
                  <w:rFonts w:hint="eastAsia" w:ascii="方正黑体_GBK" w:hAnsi="方正黑体_GBK" w:eastAsia="方正黑体_GBK" w:cs="方正黑体_GBK"/>
                </w:rPr>
                <w:t>一、部门（单位）概况</w:t>
              </w:r>
            </w:sdtContent>
          </w:sdt>
          <w:r>
            <w:tab/>
          </w:r>
          <w:bookmarkStart w:id="42" w:name="_Toc695450858_WPSOffice_Level2Page"/>
          <w:r>
            <w:t>26</w:t>
          </w:r>
          <w:bookmarkEnd w:id="42"/>
          <w:r>
            <w:fldChar w:fldCharType="end"/>
          </w:r>
        </w:p>
        <w:p>
          <w:pPr>
            <w:pStyle w:val="33"/>
            <w:tabs>
              <w:tab w:val="right" w:leader="dot" w:pos="8788"/>
            </w:tabs>
          </w:pPr>
          <w:r>
            <w:fldChar w:fldCharType="begin"/>
          </w:r>
          <w:r>
            <w:instrText xml:space="preserve"> HYPERLINK \l _Toc597395485_WPSOffice_Level3 </w:instrText>
          </w:r>
          <w:r>
            <w:fldChar w:fldCharType="separate"/>
          </w:r>
          <w:sdt>
            <w:sdtPr>
              <w:rPr>
                <w:rFonts w:ascii="Times New Roman" w:hAnsi="Times New Roman" w:eastAsia="宋体" w:cs="Times New Roman"/>
                <w:kern w:val="2"/>
                <w:sz w:val="21"/>
                <w:szCs w:val="24"/>
                <w:lang w:val="en-US" w:eastAsia="zh-CN" w:bidi="ar-SA"/>
              </w:rPr>
              <w:id w:val="501944349"/>
              <w:placeholder>
                <w:docPart w:val="{a081d1f4-b196-4660-b780-e42a55decce5}"/>
              </w:placeholder>
            </w:sdtPr>
            <w:sdtEndPr>
              <w:rPr>
                <w:rFonts w:ascii="Times New Roman" w:hAnsi="Times New Roman" w:eastAsia="宋体" w:cs="Times New Roman"/>
                <w:kern w:val="2"/>
                <w:sz w:val="21"/>
                <w:szCs w:val="24"/>
                <w:lang w:val="en-US" w:eastAsia="zh-CN" w:bidi="ar-SA"/>
              </w:rPr>
            </w:sdtEndPr>
            <w:sdtContent>
              <w:r>
                <w:rPr>
                  <w:rFonts w:hint="eastAsia" w:ascii="方正楷体_GBK" w:hAnsi="方正楷体_GBK" w:eastAsia="方正楷体_GBK" w:cs="方正楷体_GBK"/>
                </w:rPr>
                <w:t>（一）机构组成</w:t>
              </w:r>
            </w:sdtContent>
          </w:sdt>
          <w:r>
            <w:tab/>
          </w:r>
          <w:bookmarkStart w:id="43" w:name="_Toc597395485_WPSOffice_Level3Page"/>
          <w:r>
            <w:t>26</w:t>
          </w:r>
          <w:bookmarkEnd w:id="43"/>
          <w:r>
            <w:fldChar w:fldCharType="end"/>
          </w:r>
        </w:p>
        <w:p>
          <w:pPr>
            <w:pStyle w:val="33"/>
            <w:tabs>
              <w:tab w:val="right" w:leader="dot" w:pos="8788"/>
            </w:tabs>
          </w:pPr>
          <w:r>
            <w:fldChar w:fldCharType="begin"/>
          </w:r>
          <w:r>
            <w:instrText xml:space="preserve"> HYPERLINK \l _Toc1367350056_WPSOffice_Level3 </w:instrText>
          </w:r>
          <w:r>
            <w:fldChar w:fldCharType="separate"/>
          </w:r>
          <w:sdt>
            <w:sdtPr>
              <w:rPr>
                <w:rFonts w:ascii="Times New Roman" w:hAnsi="Times New Roman" w:eastAsia="宋体" w:cs="Times New Roman"/>
                <w:kern w:val="2"/>
                <w:sz w:val="21"/>
                <w:szCs w:val="24"/>
                <w:lang w:val="en-US" w:eastAsia="zh-CN" w:bidi="ar-SA"/>
              </w:rPr>
              <w:id w:val="501944349"/>
              <w:placeholder>
                <w:docPart w:val="{8b6f3e00-366e-4222-98c2-cb6d1fc631ed}"/>
              </w:placeholder>
            </w:sdtPr>
            <w:sdtEndPr>
              <w:rPr>
                <w:rFonts w:ascii="Times New Roman" w:hAnsi="Times New Roman" w:eastAsia="宋体" w:cs="Times New Roman"/>
                <w:kern w:val="2"/>
                <w:sz w:val="21"/>
                <w:szCs w:val="24"/>
                <w:lang w:val="en-US" w:eastAsia="zh-CN" w:bidi="ar-SA"/>
              </w:rPr>
            </w:sdtEndPr>
            <w:sdtContent>
              <w:r>
                <w:rPr>
                  <w:rFonts w:hint="eastAsia" w:ascii="方正楷体_GBK" w:hAnsi="方正楷体_GBK" w:eastAsia="方正楷体_GBK" w:cs="方正楷体_GBK"/>
                </w:rPr>
                <w:t>（二） 机构职能</w:t>
              </w:r>
            </w:sdtContent>
          </w:sdt>
          <w:r>
            <w:tab/>
          </w:r>
          <w:bookmarkStart w:id="44" w:name="_Toc1367350056_WPSOffice_Level3Page"/>
          <w:r>
            <w:t>26</w:t>
          </w:r>
          <w:bookmarkEnd w:id="44"/>
          <w:r>
            <w:fldChar w:fldCharType="end"/>
          </w:r>
        </w:p>
        <w:p>
          <w:pPr>
            <w:pStyle w:val="33"/>
            <w:tabs>
              <w:tab w:val="right" w:leader="dot" w:pos="8788"/>
            </w:tabs>
          </w:pPr>
          <w:r>
            <w:fldChar w:fldCharType="begin"/>
          </w:r>
          <w:r>
            <w:instrText xml:space="preserve"> HYPERLINK \l _Toc1555227275_WPSOffice_Level3 </w:instrText>
          </w:r>
          <w:r>
            <w:fldChar w:fldCharType="separate"/>
          </w:r>
          <w:sdt>
            <w:sdtPr>
              <w:rPr>
                <w:rFonts w:ascii="Times New Roman" w:hAnsi="Times New Roman" w:eastAsia="宋体" w:cs="Times New Roman"/>
                <w:kern w:val="2"/>
                <w:sz w:val="21"/>
                <w:szCs w:val="24"/>
                <w:lang w:val="en-US" w:eastAsia="zh-CN" w:bidi="ar-SA"/>
              </w:rPr>
              <w:id w:val="501944349"/>
              <w:placeholder>
                <w:docPart w:val="{7a596195-791c-4bef-9812-19a326566792}"/>
              </w:placeholder>
            </w:sdtPr>
            <w:sdtEndPr>
              <w:rPr>
                <w:rFonts w:ascii="Times New Roman" w:hAnsi="Times New Roman" w:eastAsia="宋体" w:cs="Times New Roman"/>
                <w:kern w:val="2"/>
                <w:sz w:val="21"/>
                <w:szCs w:val="24"/>
                <w:lang w:val="en-US" w:eastAsia="zh-CN" w:bidi="ar-SA"/>
              </w:rPr>
            </w:sdtEndPr>
            <w:sdtContent>
              <w:r>
                <w:rPr>
                  <w:rFonts w:hint="eastAsia" w:ascii="方正楷体_GBK" w:hAnsi="方正楷体_GBK" w:eastAsia="方正楷体_GBK" w:cs="方正楷体_GBK"/>
                </w:rPr>
                <w:t>（三）人员概况</w:t>
              </w:r>
            </w:sdtContent>
          </w:sdt>
          <w:r>
            <w:tab/>
          </w:r>
          <w:bookmarkStart w:id="45" w:name="_Toc1555227275_WPSOffice_Level3Page"/>
          <w:r>
            <w:t>27</w:t>
          </w:r>
          <w:bookmarkEnd w:id="45"/>
          <w:r>
            <w:fldChar w:fldCharType="end"/>
          </w:r>
        </w:p>
        <w:p>
          <w:pPr>
            <w:pStyle w:val="32"/>
            <w:tabs>
              <w:tab w:val="right" w:leader="dot" w:pos="8788"/>
            </w:tabs>
          </w:pPr>
          <w:r>
            <w:fldChar w:fldCharType="begin"/>
          </w:r>
          <w:r>
            <w:instrText xml:space="preserve"> HYPERLINK \l _Toc1298263634_WPSOffice_Level2 </w:instrText>
          </w:r>
          <w:r>
            <w:fldChar w:fldCharType="separate"/>
          </w:r>
          <w:sdt>
            <w:sdtPr>
              <w:rPr>
                <w:rFonts w:ascii="Times New Roman" w:hAnsi="Times New Roman" w:eastAsia="宋体" w:cs="Times New Roman"/>
                <w:kern w:val="2"/>
                <w:sz w:val="21"/>
                <w:szCs w:val="24"/>
                <w:lang w:val="en-US" w:eastAsia="zh-CN" w:bidi="ar-SA"/>
              </w:rPr>
              <w:id w:val="501944349"/>
              <w:placeholder>
                <w:docPart w:val="{13daa059-9360-401c-905e-ed61f250e877}"/>
              </w:placeholder>
            </w:sdtPr>
            <w:sdtEndPr>
              <w:rPr>
                <w:rFonts w:ascii="Times New Roman" w:hAnsi="Times New Roman" w:eastAsia="宋体" w:cs="Times New Roman"/>
                <w:kern w:val="2"/>
                <w:sz w:val="21"/>
                <w:szCs w:val="24"/>
                <w:lang w:val="en-US" w:eastAsia="zh-CN" w:bidi="ar-SA"/>
              </w:rPr>
            </w:sdtEndPr>
            <w:sdtContent>
              <w:r>
                <w:rPr>
                  <w:rFonts w:hint="default" w:ascii="方正黑体_GBK" w:hAnsi="方正黑体_GBK" w:eastAsia="方正黑体_GBK" w:cs="方正黑体_GBK"/>
                </w:rPr>
                <w:t>二、部门财政资金收支情况</w:t>
              </w:r>
            </w:sdtContent>
          </w:sdt>
          <w:r>
            <w:tab/>
          </w:r>
          <w:bookmarkStart w:id="46" w:name="_Toc1298263634_WPSOffice_Level2Page"/>
          <w:r>
            <w:t>27</w:t>
          </w:r>
          <w:bookmarkEnd w:id="46"/>
          <w:r>
            <w:fldChar w:fldCharType="end"/>
          </w:r>
        </w:p>
        <w:p>
          <w:pPr>
            <w:pStyle w:val="33"/>
            <w:tabs>
              <w:tab w:val="right" w:leader="dot" w:pos="8788"/>
            </w:tabs>
          </w:pPr>
          <w:r>
            <w:fldChar w:fldCharType="begin"/>
          </w:r>
          <w:r>
            <w:instrText xml:space="preserve"> HYPERLINK \l _Toc1130828161_WPSOffice_Level3 </w:instrText>
          </w:r>
          <w:r>
            <w:fldChar w:fldCharType="separate"/>
          </w:r>
          <w:sdt>
            <w:sdtPr>
              <w:rPr>
                <w:rFonts w:ascii="Times New Roman" w:hAnsi="Times New Roman" w:eastAsia="宋体" w:cs="Times New Roman"/>
                <w:kern w:val="2"/>
                <w:sz w:val="21"/>
                <w:szCs w:val="24"/>
                <w:lang w:val="en-US" w:eastAsia="zh-CN" w:bidi="ar-SA"/>
              </w:rPr>
              <w:id w:val="501944349"/>
              <w:placeholder>
                <w:docPart w:val="{fd5a7cc3-055c-4510-8964-dd35f21109dd}"/>
              </w:placeholder>
            </w:sdtPr>
            <w:sdtEndPr>
              <w:rPr>
                <w:rFonts w:ascii="Times New Roman" w:hAnsi="Times New Roman" w:eastAsia="宋体" w:cs="Times New Roman"/>
                <w:kern w:val="2"/>
                <w:sz w:val="21"/>
                <w:szCs w:val="24"/>
                <w:lang w:val="en-US" w:eastAsia="zh-CN" w:bidi="ar-SA"/>
              </w:rPr>
            </w:sdtEndPr>
            <w:sdtContent>
              <w:r>
                <w:rPr>
                  <w:rFonts w:hint="eastAsia" w:ascii="方正楷体_GBK" w:hAnsi="方正楷体_GBK" w:eastAsia="方正楷体_GBK" w:cs="方正楷体_GBK"/>
                </w:rPr>
                <w:t>（一）部门财政资金收入情况</w:t>
              </w:r>
            </w:sdtContent>
          </w:sdt>
          <w:r>
            <w:tab/>
          </w:r>
          <w:bookmarkStart w:id="47" w:name="_Toc1130828161_WPSOffice_Level3Page"/>
          <w:r>
            <w:t>27</w:t>
          </w:r>
          <w:bookmarkEnd w:id="47"/>
          <w:r>
            <w:fldChar w:fldCharType="end"/>
          </w:r>
        </w:p>
        <w:p>
          <w:pPr>
            <w:pStyle w:val="33"/>
            <w:tabs>
              <w:tab w:val="right" w:leader="dot" w:pos="8788"/>
            </w:tabs>
          </w:pPr>
          <w:r>
            <w:fldChar w:fldCharType="begin"/>
          </w:r>
          <w:r>
            <w:instrText xml:space="preserve"> HYPERLINK \l _Toc695450858_WPSOffice_Level3 </w:instrText>
          </w:r>
          <w:r>
            <w:fldChar w:fldCharType="separate"/>
          </w:r>
          <w:sdt>
            <w:sdtPr>
              <w:rPr>
                <w:rFonts w:ascii="Times New Roman" w:hAnsi="Times New Roman" w:eastAsia="宋体" w:cs="Times New Roman"/>
                <w:kern w:val="2"/>
                <w:sz w:val="21"/>
                <w:szCs w:val="24"/>
                <w:lang w:val="en-US" w:eastAsia="zh-CN" w:bidi="ar-SA"/>
              </w:rPr>
              <w:id w:val="501944349"/>
              <w:placeholder>
                <w:docPart w:val="{994e7bb3-0a5d-4f66-8178-51c139e182c3}"/>
              </w:placeholder>
            </w:sdtPr>
            <w:sdtEndPr>
              <w:rPr>
                <w:rFonts w:ascii="Times New Roman" w:hAnsi="Times New Roman" w:eastAsia="宋体" w:cs="Times New Roman"/>
                <w:kern w:val="2"/>
                <w:sz w:val="21"/>
                <w:szCs w:val="24"/>
                <w:lang w:val="en-US" w:eastAsia="zh-CN" w:bidi="ar-SA"/>
              </w:rPr>
            </w:sdtEndPr>
            <w:sdtContent>
              <w:r>
                <w:rPr>
                  <w:rFonts w:hint="eastAsia" w:ascii="方正楷体_GBK" w:hAnsi="方正楷体_GBK" w:eastAsia="方正楷体_GBK" w:cs="方正楷体_GBK"/>
                </w:rPr>
                <w:t>（二）</w:t>
              </w:r>
              <w:r>
                <w:rPr>
                  <w:rFonts w:hint="default" w:ascii="方正楷体_GBK" w:hAnsi="方正楷体_GBK" w:eastAsia="方正楷体_GBK" w:cs="方正楷体_GBK"/>
                </w:rPr>
                <w:t>部门财政资金支出情况</w:t>
              </w:r>
            </w:sdtContent>
          </w:sdt>
          <w:r>
            <w:tab/>
          </w:r>
          <w:bookmarkStart w:id="48" w:name="_Toc695450858_WPSOffice_Level3Page"/>
          <w:r>
            <w:t>27</w:t>
          </w:r>
          <w:bookmarkEnd w:id="48"/>
          <w:r>
            <w:fldChar w:fldCharType="end"/>
          </w:r>
        </w:p>
        <w:p>
          <w:pPr>
            <w:pStyle w:val="32"/>
            <w:tabs>
              <w:tab w:val="right" w:leader="dot" w:pos="8788"/>
            </w:tabs>
          </w:pPr>
          <w:r>
            <w:fldChar w:fldCharType="begin"/>
          </w:r>
          <w:r>
            <w:instrText xml:space="preserve"> HYPERLINK \l _Toc927803996_WPSOffice_Level2 </w:instrText>
          </w:r>
          <w:r>
            <w:fldChar w:fldCharType="separate"/>
          </w:r>
          <w:sdt>
            <w:sdtPr>
              <w:rPr>
                <w:rFonts w:ascii="Times New Roman" w:hAnsi="Times New Roman" w:eastAsia="宋体" w:cs="Times New Roman"/>
                <w:kern w:val="2"/>
                <w:sz w:val="21"/>
                <w:szCs w:val="24"/>
                <w:lang w:val="en-US" w:eastAsia="zh-CN" w:bidi="ar-SA"/>
              </w:rPr>
              <w:id w:val="501944349"/>
              <w:placeholder>
                <w:docPart w:val="{87dc3b8e-fdc8-4646-90e7-26d65e1080dd}"/>
              </w:placeholder>
            </w:sdtPr>
            <w:sdtEndPr>
              <w:rPr>
                <w:rFonts w:ascii="Times New Roman" w:hAnsi="Times New Roman" w:eastAsia="宋体" w:cs="Times New Roman"/>
                <w:kern w:val="2"/>
                <w:sz w:val="21"/>
                <w:szCs w:val="24"/>
                <w:lang w:val="en-US" w:eastAsia="zh-CN" w:bidi="ar-SA"/>
              </w:rPr>
            </w:sdtEndPr>
            <w:sdtContent>
              <w:r>
                <w:rPr>
                  <w:rFonts w:hint="default" w:ascii="方正黑体_GBK" w:hAnsi="方正黑体_GBK" w:eastAsia="方正黑体_GBK" w:cs="方正黑体_GBK"/>
                </w:rPr>
                <w:t>三、部门整体预算绩效管理情况</w:t>
              </w:r>
            </w:sdtContent>
          </w:sdt>
          <w:r>
            <w:tab/>
          </w:r>
          <w:bookmarkStart w:id="49" w:name="_Toc927803996_WPSOffice_Level2Page"/>
          <w:r>
            <w:t>27</w:t>
          </w:r>
          <w:bookmarkEnd w:id="49"/>
          <w:r>
            <w:fldChar w:fldCharType="end"/>
          </w:r>
        </w:p>
        <w:p>
          <w:pPr>
            <w:pStyle w:val="33"/>
            <w:tabs>
              <w:tab w:val="right" w:leader="dot" w:pos="8788"/>
            </w:tabs>
          </w:pPr>
          <w:r>
            <w:fldChar w:fldCharType="begin"/>
          </w:r>
          <w:r>
            <w:instrText xml:space="preserve"> HYPERLINK \l _Toc1298263634_WPSOffice_Level3 </w:instrText>
          </w:r>
          <w:r>
            <w:fldChar w:fldCharType="separate"/>
          </w:r>
          <w:sdt>
            <w:sdtPr>
              <w:rPr>
                <w:rFonts w:ascii="Times New Roman" w:hAnsi="Times New Roman" w:eastAsia="宋体" w:cs="Times New Roman"/>
                <w:kern w:val="2"/>
                <w:sz w:val="21"/>
                <w:szCs w:val="24"/>
                <w:lang w:val="en-US" w:eastAsia="zh-CN" w:bidi="ar-SA"/>
              </w:rPr>
              <w:id w:val="501944349"/>
              <w:placeholder>
                <w:docPart w:val="{ca3db9e1-8a20-40f7-b4a9-9abc01066208}"/>
              </w:placeholder>
            </w:sdtPr>
            <w:sdtEndPr>
              <w:rPr>
                <w:rFonts w:ascii="Times New Roman" w:hAnsi="Times New Roman" w:eastAsia="宋体" w:cs="Times New Roman"/>
                <w:kern w:val="2"/>
                <w:sz w:val="21"/>
                <w:szCs w:val="24"/>
                <w:lang w:val="en-US" w:eastAsia="zh-CN" w:bidi="ar-SA"/>
              </w:rPr>
            </w:sdtEndPr>
            <w:sdtContent>
              <w:r>
                <w:rPr>
                  <w:rFonts w:hint="default" w:ascii="方正楷体_GBK" w:hAnsi="方正楷体_GBK" w:eastAsia="方正楷体_GBK" w:cs="方正楷体_GBK"/>
                </w:rPr>
                <w:t>（一）部门预算管理</w:t>
              </w:r>
            </w:sdtContent>
          </w:sdt>
          <w:r>
            <w:tab/>
          </w:r>
          <w:bookmarkStart w:id="50" w:name="_Toc1298263634_WPSOffice_Level3Page"/>
          <w:r>
            <w:t>28</w:t>
          </w:r>
          <w:bookmarkEnd w:id="50"/>
          <w:r>
            <w:fldChar w:fldCharType="end"/>
          </w:r>
        </w:p>
        <w:p>
          <w:pPr>
            <w:pStyle w:val="33"/>
            <w:tabs>
              <w:tab w:val="right" w:leader="dot" w:pos="8788"/>
            </w:tabs>
          </w:pPr>
          <w:r>
            <w:fldChar w:fldCharType="begin"/>
          </w:r>
          <w:r>
            <w:instrText xml:space="preserve"> HYPERLINK \l _Toc927803996_WPSOffice_Level3 </w:instrText>
          </w:r>
          <w:r>
            <w:fldChar w:fldCharType="separate"/>
          </w:r>
          <w:sdt>
            <w:sdtPr>
              <w:rPr>
                <w:rFonts w:ascii="Times New Roman" w:hAnsi="Times New Roman" w:eastAsia="宋体" w:cs="Times New Roman"/>
                <w:kern w:val="2"/>
                <w:sz w:val="21"/>
                <w:szCs w:val="24"/>
                <w:lang w:val="en-US" w:eastAsia="zh-CN" w:bidi="ar-SA"/>
              </w:rPr>
              <w:id w:val="501944349"/>
              <w:placeholder>
                <w:docPart w:val="{7ad2e80f-23eb-4c92-ad2d-01af2cfe7495}"/>
              </w:placeholder>
            </w:sdtPr>
            <w:sdtEndPr>
              <w:rPr>
                <w:rFonts w:ascii="Times New Roman" w:hAnsi="Times New Roman" w:eastAsia="宋体" w:cs="Times New Roman"/>
                <w:kern w:val="2"/>
                <w:sz w:val="21"/>
                <w:szCs w:val="24"/>
                <w:lang w:val="en-US" w:eastAsia="zh-CN" w:bidi="ar-SA"/>
              </w:rPr>
            </w:sdtEndPr>
            <w:sdtContent>
              <w:r>
                <w:rPr>
                  <w:rFonts w:hint="default" w:ascii="方正楷体_GBK" w:hAnsi="方正楷体_GBK" w:eastAsia="方正楷体_GBK" w:cs="方正楷体_GBK"/>
                </w:rPr>
                <w:t>（二）项目预算管理</w:t>
              </w:r>
            </w:sdtContent>
          </w:sdt>
          <w:r>
            <w:tab/>
          </w:r>
          <w:bookmarkStart w:id="51" w:name="_Toc927803996_WPSOffice_Level3Page"/>
          <w:r>
            <w:t>28</w:t>
          </w:r>
          <w:bookmarkEnd w:id="51"/>
          <w:r>
            <w:fldChar w:fldCharType="end"/>
          </w:r>
        </w:p>
        <w:p>
          <w:pPr>
            <w:pStyle w:val="33"/>
            <w:tabs>
              <w:tab w:val="right" w:leader="dot" w:pos="8788"/>
            </w:tabs>
          </w:pPr>
          <w:r>
            <w:fldChar w:fldCharType="begin"/>
          </w:r>
          <w:r>
            <w:instrText xml:space="preserve"> HYPERLINK \l _Toc71210895_WPSOffice_Level3 </w:instrText>
          </w:r>
          <w:r>
            <w:fldChar w:fldCharType="separate"/>
          </w:r>
          <w:sdt>
            <w:sdtPr>
              <w:rPr>
                <w:rFonts w:ascii="Times New Roman" w:hAnsi="Times New Roman" w:eastAsia="宋体" w:cs="Times New Roman"/>
                <w:kern w:val="2"/>
                <w:sz w:val="21"/>
                <w:szCs w:val="24"/>
                <w:lang w:val="en-US" w:eastAsia="zh-CN" w:bidi="ar-SA"/>
              </w:rPr>
              <w:id w:val="501944349"/>
              <w:placeholder>
                <w:docPart w:val="{e657bb90-0374-42a8-9800-a77df638529a}"/>
              </w:placeholder>
            </w:sdtPr>
            <w:sdtEndPr>
              <w:rPr>
                <w:rFonts w:ascii="Times New Roman" w:hAnsi="Times New Roman" w:eastAsia="宋体" w:cs="Times New Roman"/>
                <w:kern w:val="2"/>
                <w:sz w:val="21"/>
                <w:szCs w:val="24"/>
                <w:lang w:val="en-US" w:eastAsia="zh-CN" w:bidi="ar-SA"/>
              </w:rPr>
            </w:sdtEndPr>
            <w:sdtContent>
              <w:r>
                <w:rPr>
                  <w:rFonts w:hint="eastAsia" w:ascii="方正楷体_GBK" w:hAnsi="方正楷体_GBK" w:eastAsia="方正楷体_GBK" w:cs="方正楷体_GBK"/>
                </w:rPr>
                <w:t>（三）</w:t>
              </w:r>
              <w:r>
                <w:rPr>
                  <w:rFonts w:hint="default" w:ascii="方正楷体_GBK" w:hAnsi="方正楷体_GBK" w:eastAsia="方正楷体_GBK" w:cs="方正楷体_GBK"/>
                </w:rPr>
                <w:t>结果应用情况</w:t>
              </w:r>
            </w:sdtContent>
          </w:sdt>
          <w:r>
            <w:tab/>
          </w:r>
          <w:bookmarkStart w:id="52" w:name="_Toc71210895_WPSOffice_Level3Page"/>
          <w:r>
            <w:t>29</w:t>
          </w:r>
          <w:bookmarkEnd w:id="52"/>
          <w:r>
            <w:fldChar w:fldCharType="end"/>
          </w:r>
        </w:p>
        <w:p>
          <w:pPr>
            <w:pStyle w:val="32"/>
            <w:tabs>
              <w:tab w:val="right" w:leader="dot" w:pos="8788"/>
            </w:tabs>
          </w:pPr>
          <w:r>
            <w:fldChar w:fldCharType="begin"/>
          </w:r>
          <w:r>
            <w:instrText xml:space="preserve"> HYPERLINK \l _Toc71210895_WPSOffice_Level2 </w:instrText>
          </w:r>
          <w:r>
            <w:fldChar w:fldCharType="separate"/>
          </w:r>
          <w:sdt>
            <w:sdtPr>
              <w:rPr>
                <w:rFonts w:ascii="Times New Roman" w:hAnsi="Times New Roman" w:eastAsia="宋体" w:cs="Times New Roman"/>
                <w:kern w:val="2"/>
                <w:sz w:val="21"/>
                <w:szCs w:val="24"/>
                <w:lang w:val="en-US" w:eastAsia="zh-CN" w:bidi="ar-SA"/>
              </w:rPr>
              <w:id w:val="501944349"/>
              <w:placeholder>
                <w:docPart w:val="{76060237-0db8-4399-8b5c-e8ccd7c32d37}"/>
              </w:placeholder>
            </w:sdtPr>
            <w:sdtEndPr>
              <w:rPr>
                <w:rFonts w:ascii="Times New Roman" w:hAnsi="Times New Roman" w:eastAsia="宋体" w:cs="Times New Roman"/>
                <w:kern w:val="2"/>
                <w:sz w:val="21"/>
                <w:szCs w:val="24"/>
                <w:lang w:val="en-US" w:eastAsia="zh-CN" w:bidi="ar-SA"/>
              </w:rPr>
            </w:sdtEndPr>
            <w:sdtContent>
              <w:r>
                <w:rPr>
                  <w:rFonts w:hint="default" w:ascii="方正黑体_GBK" w:hAnsi="方正黑体_GBK" w:eastAsia="方正黑体_GBK" w:cs="方正黑体_GBK"/>
                </w:rPr>
                <w:t>四、评价结论及建议</w:t>
              </w:r>
            </w:sdtContent>
          </w:sdt>
          <w:r>
            <w:tab/>
          </w:r>
          <w:bookmarkStart w:id="53" w:name="_Toc71210895_WPSOffice_Level2Page"/>
          <w:r>
            <w:t>29</w:t>
          </w:r>
          <w:bookmarkEnd w:id="53"/>
          <w:r>
            <w:fldChar w:fldCharType="end"/>
          </w:r>
        </w:p>
        <w:p>
          <w:pPr>
            <w:pStyle w:val="33"/>
            <w:tabs>
              <w:tab w:val="right" w:leader="dot" w:pos="8788"/>
            </w:tabs>
          </w:pPr>
          <w:r>
            <w:fldChar w:fldCharType="begin"/>
          </w:r>
          <w:r>
            <w:instrText xml:space="preserve"> HYPERLINK \l _Toc263615954_WPSOffice_Level3 </w:instrText>
          </w:r>
          <w:r>
            <w:fldChar w:fldCharType="separate"/>
          </w:r>
          <w:sdt>
            <w:sdtPr>
              <w:rPr>
                <w:rFonts w:ascii="Times New Roman" w:hAnsi="Times New Roman" w:eastAsia="宋体" w:cs="Times New Roman"/>
                <w:kern w:val="2"/>
                <w:sz w:val="21"/>
                <w:szCs w:val="24"/>
                <w:lang w:val="en-US" w:eastAsia="zh-CN" w:bidi="ar-SA"/>
              </w:rPr>
              <w:id w:val="501944349"/>
              <w:placeholder>
                <w:docPart w:val="{4bb73a43-5a55-4535-b078-31c5afe740b5}"/>
              </w:placeholder>
            </w:sdtPr>
            <w:sdtEndPr>
              <w:rPr>
                <w:rFonts w:ascii="Times New Roman" w:hAnsi="Times New Roman" w:eastAsia="宋体" w:cs="Times New Roman"/>
                <w:kern w:val="2"/>
                <w:sz w:val="21"/>
                <w:szCs w:val="24"/>
                <w:lang w:val="en-US" w:eastAsia="zh-CN" w:bidi="ar-SA"/>
              </w:rPr>
            </w:sdtEndPr>
            <w:sdtContent>
              <w:r>
                <w:rPr>
                  <w:rFonts w:hint="default" w:ascii="方正楷体_GBK" w:hAnsi="方正楷体_GBK" w:eastAsia="方正楷体_GBK" w:cs="方正楷体_GBK"/>
                </w:rPr>
                <w:t>（一）评价结论</w:t>
              </w:r>
            </w:sdtContent>
          </w:sdt>
          <w:r>
            <w:tab/>
          </w:r>
          <w:bookmarkStart w:id="54" w:name="_Toc263615954_WPSOffice_Level3Page"/>
          <w:r>
            <w:t>29</w:t>
          </w:r>
          <w:bookmarkEnd w:id="54"/>
          <w:r>
            <w:fldChar w:fldCharType="end"/>
          </w:r>
        </w:p>
        <w:p>
          <w:pPr>
            <w:pStyle w:val="33"/>
            <w:tabs>
              <w:tab w:val="right" w:leader="dot" w:pos="8788"/>
            </w:tabs>
          </w:pPr>
          <w:r>
            <w:fldChar w:fldCharType="begin"/>
          </w:r>
          <w:r>
            <w:instrText xml:space="preserve"> HYPERLINK \l _Toc246647362_WPSOffice_Level3 </w:instrText>
          </w:r>
          <w:r>
            <w:fldChar w:fldCharType="separate"/>
          </w:r>
          <w:sdt>
            <w:sdtPr>
              <w:rPr>
                <w:rFonts w:ascii="Times New Roman" w:hAnsi="Times New Roman" w:eastAsia="宋体" w:cs="Times New Roman"/>
                <w:kern w:val="2"/>
                <w:sz w:val="21"/>
                <w:szCs w:val="24"/>
                <w:lang w:val="en-US" w:eastAsia="zh-CN" w:bidi="ar-SA"/>
              </w:rPr>
              <w:id w:val="501944349"/>
              <w:placeholder>
                <w:docPart w:val="{331c89fe-476d-44ac-b0bb-92ea58044b07}"/>
              </w:placeholder>
            </w:sdtPr>
            <w:sdtEndPr>
              <w:rPr>
                <w:rFonts w:ascii="Times New Roman" w:hAnsi="Times New Roman" w:eastAsia="宋体" w:cs="Times New Roman"/>
                <w:kern w:val="2"/>
                <w:sz w:val="21"/>
                <w:szCs w:val="24"/>
                <w:lang w:val="en-US" w:eastAsia="zh-CN" w:bidi="ar-SA"/>
              </w:rPr>
            </w:sdtEndPr>
            <w:sdtContent>
              <w:r>
                <w:rPr>
                  <w:rFonts w:hint="eastAsia" w:ascii="方正楷体_GBK" w:hAnsi="方正楷体_GBK" w:eastAsia="方正楷体_GBK" w:cs="方正楷体_GBK"/>
                </w:rPr>
                <w:t>（二）存在问题</w:t>
              </w:r>
            </w:sdtContent>
          </w:sdt>
          <w:r>
            <w:tab/>
          </w:r>
          <w:bookmarkStart w:id="55" w:name="_Toc246647362_WPSOffice_Level3Page"/>
          <w:r>
            <w:t>29</w:t>
          </w:r>
          <w:bookmarkEnd w:id="55"/>
          <w:r>
            <w:fldChar w:fldCharType="end"/>
          </w:r>
        </w:p>
        <w:p>
          <w:pPr>
            <w:pStyle w:val="33"/>
            <w:tabs>
              <w:tab w:val="right" w:leader="dot" w:pos="8788"/>
            </w:tabs>
          </w:pPr>
          <w:r>
            <w:fldChar w:fldCharType="begin"/>
          </w:r>
          <w:r>
            <w:instrText xml:space="preserve"> HYPERLINK \l _Toc1696426006_WPSOffice_Level3 </w:instrText>
          </w:r>
          <w:r>
            <w:fldChar w:fldCharType="separate"/>
          </w:r>
          <w:sdt>
            <w:sdtPr>
              <w:rPr>
                <w:rFonts w:ascii="Times New Roman" w:hAnsi="Times New Roman" w:eastAsia="宋体" w:cs="Times New Roman"/>
                <w:kern w:val="2"/>
                <w:sz w:val="21"/>
                <w:szCs w:val="24"/>
                <w:lang w:val="en-US" w:eastAsia="zh-CN" w:bidi="ar-SA"/>
              </w:rPr>
              <w:id w:val="501944349"/>
              <w:placeholder>
                <w:docPart w:val="{e810a085-4bed-428a-9fcc-7f5a4c65ff99}"/>
              </w:placeholder>
            </w:sdtPr>
            <w:sdtEndPr>
              <w:rPr>
                <w:rFonts w:ascii="Times New Roman" w:hAnsi="Times New Roman" w:eastAsia="宋体" w:cs="Times New Roman"/>
                <w:kern w:val="2"/>
                <w:sz w:val="21"/>
                <w:szCs w:val="24"/>
                <w:lang w:val="en-US" w:eastAsia="zh-CN" w:bidi="ar-SA"/>
              </w:rPr>
            </w:sdtEndPr>
            <w:sdtContent>
              <w:r>
                <w:rPr>
                  <w:rFonts w:hint="eastAsia" w:ascii="方正楷体_GBK" w:hAnsi="方正楷体_GBK" w:eastAsia="方正楷体_GBK" w:cs="方正楷体_GBK"/>
                </w:rPr>
                <w:t>（三）改进建议</w:t>
              </w:r>
            </w:sdtContent>
          </w:sdt>
          <w:r>
            <w:tab/>
          </w:r>
          <w:bookmarkStart w:id="56" w:name="_Toc1696426006_WPSOffice_Level3Page"/>
          <w:r>
            <w:t>29</w:t>
          </w:r>
          <w:bookmarkEnd w:id="56"/>
          <w:r>
            <w:fldChar w:fldCharType="end"/>
          </w:r>
        </w:p>
        <w:p>
          <w:pPr>
            <w:pStyle w:val="32"/>
            <w:tabs>
              <w:tab w:val="right" w:leader="dot" w:pos="8788"/>
            </w:tabs>
          </w:pPr>
          <w:r>
            <w:fldChar w:fldCharType="begin"/>
          </w:r>
          <w:r>
            <w:instrText xml:space="preserve"> HYPERLINK \l _Toc246647362_WPSOffice_Level2 </w:instrText>
          </w:r>
          <w:r>
            <w:fldChar w:fldCharType="separate"/>
          </w:r>
          <w:sdt>
            <w:sdtPr>
              <w:rPr>
                <w:rFonts w:ascii="Times New Roman" w:hAnsi="Times New Roman" w:eastAsia="宋体" w:cs="Times New Roman"/>
                <w:kern w:val="2"/>
                <w:sz w:val="21"/>
                <w:szCs w:val="24"/>
                <w:lang w:val="en-US" w:eastAsia="zh-CN" w:bidi="ar-SA"/>
              </w:rPr>
              <w:id w:val="501944349"/>
              <w:placeholder>
                <w:docPart w:val="{128d0ee6-1add-4551-8447-afe957f7c480}"/>
              </w:placeholder>
            </w:sdtPr>
            <w:sdtEndPr>
              <w:rPr>
                <w:rFonts w:ascii="Times New Roman" w:hAnsi="Times New Roman" w:eastAsia="宋体" w:cs="Times New Roman"/>
                <w:kern w:val="2"/>
                <w:sz w:val="21"/>
                <w:szCs w:val="24"/>
                <w:lang w:val="en-US" w:eastAsia="zh-CN" w:bidi="ar-SA"/>
              </w:rPr>
            </w:sdtEndPr>
            <w:sdtContent>
              <w:r>
                <w:rPr>
                  <w:rFonts w:hint="eastAsia" w:ascii="方正小标宋_GBK" w:hAnsi="方正小标宋_GBK" w:eastAsia="方正小标宋_GBK" w:cs="方正小标宋_GBK"/>
                </w:rPr>
                <w:t>2021年项目支出绩效自评报告</w:t>
              </w:r>
            </w:sdtContent>
          </w:sdt>
          <w:r>
            <w:tab/>
          </w:r>
          <w:bookmarkStart w:id="57" w:name="_Toc246647362_WPSOffice_Level2Page"/>
          <w:r>
            <w:t>30</w:t>
          </w:r>
          <w:bookmarkEnd w:id="57"/>
          <w:r>
            <w:fldChar w:fldCharType="end"/>
          </w:r>
        </w:p>
        <w:p>
          <w:pPr>
            <w:pStyle w:val="32"/>
            <w:tabs>
              <w:tab w:val="right" w:leader="dot" w:pos="8788"/>
            </w:tabs>
          </w:pPr>
          <w:r>
            <w:fldChar w:fldCharType="begin"/>
          </w:r>
          <w:r>
            <w:instrText xml:space="preserve"> HYPERLINK \l _Toc1696426006_WPSOffice_Level2 </w:instrText>
          </w:r>
          <w:r>
            <w:fldChar w:fldCharType="separate"/>
          </w:r>
          <w:sdt>
            <w:sdtPr>
              <w:rPr>
                <w:rFonts w:ascii="Times New Roman" w:hAnsi="Times New Roman" w:eastAsia="宋体" w:cs="Times New Roman"/>
                <w:kern w:val="2"/>
                <w:sz w:val="21"/>
                <w:szCs w:val="24"/>
                <w:lang w:val="en-US" w:eastAsia="zh-CN" w:bidi="ar-SA"/>
              </w:rPr>
              <w:id w:val="501944349"/>
              <w:placeholder>
                <w:docPart w:val="{b7fb9ae6-dd01-464c-bb6c-929ae088ff31}"/>
              </w:placeholder>
            </w:sdtPr>
            <w:sdtEndPr>
              <w:rPr>
                <w:rFonts w:ascii="Times New Roman" w:hAnsi="Times New Roman" w:eastAsia="宋体" w:cs="Times New Roman"/>
                <w:kern w:val="2"/>
                <w:sz w:val="21"/>
                <w:szCs w:val="24"/>
                <w:lang w:val="en-US" w:eastAsia="zh-CN" w:bidi="ar-SA"/>
              </w:rPr>
            </w:sdtEndPr>
            <w:sdtContent>
              <w:r>
                <w:rPr>
                  <w:rFonts w:hint="default" w:ascii="Times New Roman" w:hAnsi="Times New Roman" w:eastAsia="方正仿宋_GBK" w:cs="Times New Roman"/>
                </w:rPr>
                <w:t>（出版本土教材费用项目）</w:t>
              </w:r>
            </w:sdtContent>
          </w:sdt>
          <w:r>
            <w:tab/>
          </w:r>
          <w:bookmarkStart w:id="58" w:name="_Toc1696426006_WPSOffice_Level2Page"/>
          <w:r>
            <w:t>30</w:t>
          </w:r>
          <w:bookmarkEnd w:id="58"/>
          <w:r>
            <w:fldChar w:fldCharType="end"/>
          </w:r>
        </w:p>
        <w:p>
          <w:pPr>
            <w:pStyle w:val="32"/>
            <w:tabs>
              <w:tab w:val="right" w:leader="dot" w:pos="8788"/>
            </w:tabs>
          </w:pPr>
          <w:r>
            <w:fldChar w:fldCharType="begin"/>
          </w:r>
          <w:r>
            <w:instrText xml:space="preserve"> HYPERLINK \l _Toc109976739_WPSOffice_Level2 </w:instrText>
          </w:r>
          <w:r>
            <w:fldChar w:fldCharType="separate"/>
          </w:r>
          <w:sdt>
            <w:sdtPr>
              <w:rPr>
                <w:rFonts w:ascii="Times New Roman" w:hAnsi="Times New Roman" w:eastAsia="宋体" w:cs="Times New Roman"/>
                <w:kern w:val="2"/>
                <w:sz w:val="21"/>
                <w:szCs w:val="24"/>
                <w:lang w:val="en-US" w:eastAsia="zh-CN" w:bidi="ar-SA"/>
              </w:rPr>
              <w:id w:val="501944349"/>
              <w:placeholder>
                <w:docPart w:val="{49e345cf-ff05-4ffd-b8dd-ebe2eaeff939}"/>
              </w:placeholder>
            </w:sdtPr>
            <w:sdtEndPr>
              <w:rPr>
                <w:rFonts w:ascii="Times New Roman" w:hAnsi="Times New Roman" w:eastAsia="宋体" w:cs="Times New Roman"/>
                <w:kern w:val="2"/>
                <w:sz w:val="21"/>
                <w:szCs w:val="24"/>
                <w:lang w:val="en-US" w:eastAsia="zh-CN" w:bidi="ar-SA"/>
              </w:rPr>
            </w:sdtEndPr>
            <w:sdtContent>
              <w:r>
                <w:rPr>
                  <w:rFonts w:hint="eastAsia" w:ascii="方正黑体_GBK" w:hAnsi="方正黑体_GBK" w:eastAsia="方正黑体_GBK" w:cs="方正黑体_GBK"/>
                </w:rPr>
                <w:t>一、项目概况</w:t>
              </w:r>
            </w:sdtContent>
          </w:sdt>
          <w:r>
            <w:tab/>
          </w:r>
          <w:bookmarkStart w:id="59" w:name="_Toc109976739_WPSOffice_Level2Page"/>
          <w:r>
            <w:t>30</w:t>
          </w:r>
          <w:bookmarkEnd w:id="59"/>
          <w:r>
            <w:fldChar w:fldCharType="end"/>
          </w:r>
        </w:p>
        <w:p>
          <w:pPr>
            <w:pStyle w:val="32"/>
            <w:tabs>
              <w:tab w:val="right" w:leader="dot" w:pos="8788"/>
            </w:tabs>
          </w:pPr>
          <w:r>
            <w:fldChar w:fldCharType="begin"/>
          </w:r>
          <w:r>
            <w:instrText xml:space="preserve"> HYPERLINK \l _Toc1173594980_WPSOffice_Level2 </w:instrText>
          </w:r>
          <w:r>
            <w:fldChar w:fldCharType="separate"/>
          </w:r>
          <w:sdt>
            <w:sdtPr>
              <w:rPr>
                <w:rFonts w:ascii="Times New Roman" w:hAnsi="Times New Roman" w:eastAsia="宋体" w:cs="Times New Roman"/>
                <w:kern w:val="2"/>
                <w:sz w:val="21"/>
                <w:szCs w:val="24"/>
                <w:lang w:val="en-US" w:eastAsia="zh-CN" w:bidi="ar-SA"/>
              </w:rPr>
              <w:id w:val="501944349"/>
              <w:placeholder>
                <w:docPart w:val="{78aa5eba-3f9f-4d9d-a4c1-399103f0dcdf}"/>
              </w:placeholder>
            </w:sdtPr>
            <w:sdtEndPr>
              <w:rPr>
                <w:rFonts w:ascii="Times New Roman" w:hAnsi="Times New Roman" w:eastAsia="宋体" w:cs="Times New Roman"/>
                <w:kern w:val="2"/>
                <w:sz w:val="21"/>
                <w:szCs w:val="24"/>
                <w:lang w:val="en-US" w:eastAsia="zh-CN" w:bidi="ar-SA"/>
              </w:rPr>
            </w:sdtEndPr>
            <w:sdtContent>
              <w:r>
                <w:rPr>
                  <w:rFonts w:hint="eastAsia" w:ascii="方正黑体_GBK" w:hAnsi="方正黑体_GBK" w:eastAsia="方正黑体_GBK" w:cs="方正黑体_GBK"/>
                </w:rPr>
                <w:t>二、项目实施及管理情况</w:t>
              </w:r>
            </w:sdtContent>
          </w:sdt>
          <w:r>
            <w:tab/>
          </w:r>
          <w:bookmarkStart w:id="60" w:name="_Toc1173594980_WPSOffice_Level2Page"/>
          <w:r>
            <w:t>30</w:t>
          </w:r>
          <w:bookmarkEnd w:id="60"/>
          <w:r>
            <w:fldChar w:fldCharType="end"/>
          </w:r>
        </w:p>
        <w:p>
          <w:pPr>
            <w:pStyle w:val="33"/>
            <w:tabs>
              <w:tab w:val="right" w:leader="dot" w:pos="8788"/>
            </w:tabs>
          </w:pPr>
          <w:r>
            <w:fldChar w:fldCharType="begin"/>
          </w:r>
          <w:r>
            <w:instrText xml:space="preserve"> HYPERLINK \l _Toc109976739_WPSOffice_Level3 </w:instrText>
          </w:r>
          <w:r>
            <w:fldChar w:fldCharType="separate"/>
          </w:r>
          <w:sdt>
            <w:sdtPr>
              <w:rPr>
                <w:rFonts w:ascii="Times New Roman" w:hAnsi="Times New Roman" w:eastAsia="宋体" w:cs="Times New Roman"/>
                <w:kern w:val="2"/>
                <w:sz w:val="21"/>
                <w:szCs w:val="24"/>
                <w:lang w:val="en-US" w:eastAsia="zh-CN" w:bidi="ar-SA"/>
              </w:rPr>
              <w:id w:val="501944349"/>
              <w:placeholder>
                <w:docPart w:val="{66a414f6-c0c2-4489-805e-95b720a2ec8a}"/>
              </w:placeholder>
            </w:sdtPr>
            <w:sdtEndPr>
              <w:rPr>
                <w:rFonts w:ascii="Times New Roman" w:hAnsi="Times New Roman" w:eastAsia="宋体" w:cs="Times New Roman"/>
                <w:kern w:val="2"/>
                <w:sz w:val="21"/>
                <w:szCs w:val="24"/>
                <w:lang w:val="en-US" w:eastAsia="zh-CN" w:bidi="ar-SA"/>
              </w:rPr>
            </w:sdtEndPr>
            <w:sdtContent>
              <w:r>
                <w:rPr>
                  <w:rFonts w:hint="default" w:ascii="方正楷体_GBK" w:hAnsi="方正楷体_GBK" w:eastAsia="方正楷体_GBK" w:cs="方正楷体_GBK"/>
                </w:rPr>
                <w:t>（一）资金计划、到位及使用情况</w:t>
              </w:r>
            </w:sdtContent>
          </w:sdt>
          <w:r>
            <w:tab/>
          </w:r>
          <w:bookmarkStart w:id="61" w:name="_Toc109976739_WPSOffice_Level3Page"/>
          <w:r>
            <w:t>31</w:t>
          </w:r>
          <w:bookmarkEnd w:id="61"/>
          <w:r>
            <w:fldChar w:fldCharType="end"/>
          </w:r>
        </w:p>
        <w:p>
          <w:pPr>
            <w:pStyle w:val="33"/>
            <w:tabs>
              <w:tab w:val="right" w:leader="dot" w:pos="8788"/>
            </w:tabs>
          </w:pPr>
          <w:r>
            <w:fldChar w:fldCharType="begin"/>
          </w:r>
          <w:r>
            <w:instrText xml:space="preserve"> HYPERLINK \l _Toc1173594980_WPSOffice_Level3 </w:instrText>
          </w:r>
          <w:r>
            <w:fldChar w:fldCharType="separate"/>
          </w:r>
          <w:sdt>
            <w:sdtPr>
              <w:rPr>
                <w:rFonts w:ascii="Times New Roman" w:hAnsi="Times New Roman" w:eastAsia="宋体" w:cs="Times New Roman"/>
                <w:kern w:val="2"/>
                <w:sz w:val="21"/>
                <w:szCs w:val="24"/>
                <w:lang w:val="en-US" w:eastAsia="zh-CN" w:bidi="ar-SA"/>
              </w:rPr>
              <w:id w:val="501944349"/>
              <w:placeholder>
                <w:docPart w:val="{7d4d16d1-5387-4863-a18e-180fd36c50e9}"/>
              </w:placeholder>
            </w:sdtPr>
            <w:sdtEndPr>
              <w:rPr>
                <w:rFonts w:ascii="Times New Roman" w:hAnsi="Times New Roman" w:eastAsia="宋体" w:cs="Times New Roman"/>
                <w:kern w:val="2"/>
                <w:sz w:val="21"/>
                <w:szCs w:val="24"/>
                <w:lang w:val="en-US" w:eastAsia="zh-CN" w:bidi="ar-SA"/>
              </w:rPr>
            </w:sdtEndPr>
            <w:sdtContent>
              <w:r>
                <w:rPr>
                  <w:rFonts w:hint="default" w:ascii="方正楷体_GBK" w:hAnsi="方正楷体_GBK" w:eastAsia="方正楷体_GBK" w:cs="方正楷体_GBK"/>
                </w:rPr>
                <w:t>（二）项目财务管理情况</w:t>
              </w:r>
            </w:sdtContent>
          </w:sdt>
          <w:r>
            <w:tab/>
          </w:r>
          <w:bookmarkStart w:id="62" w:name="_Toc1173594980_WPSOffice_Level3Page"/>
          <w:r>
            <w:t>31</w:t>
          </w:r>
          <w:bookmarkEnd w:id="62"/>
          <w:r>
            <w:fldChar w:fldCharType="end"/>
          </w:r>
        </w:p>
        <w:p>
          <w:pPr>
            <w:pStyle w:val="33"/>
            <w:tabs>
              <w:tab w:val="right" w:leader="dot" w:pos="8788"/>
            </w:tabs>
          </w:pPr>
          <w:r>
            <w:fldChar w:fldCharType="begin"/>
          </w:r>
          <w:r>
            <w:instrText xml:space="preserve"> HYPERLINK \l _Toc818652913_WPSOffice_Level3 </w:instrText>
          </w:r>
          <w:r>
            <w:fldChar w:fldCharType="separate"/>
          </w:r>
          <w:sdt>
            <w:sdtPr>
              <w:rPr>
                <w:rFonts w:ascii="Times New Roman" w:hAnsi="Times New Roman" w:eastAsia="宋体" w:cs="Times New Roman"/>
                <w:kern w:val="2"/>
                <w:sz w:val="21"/>
                <w:szCs w:val="24"/>
                <w:lang w:val="en-US" w:eastAsia="zh-CN" w:bidi="ar-SA"/>
              </w:rPr>
              <w:id w:val="501944349"/>
              <w:placeholder>
                <w:docPart w:val="{d48ebf71-2682-4795-98f0-3b13c5d6b2ff}"/>
              </w:placeholder>
            </w:sdtPr>
            <w:sdtEndPr>
              <w:rPr>
                <w:rFonts w:ascii="Times New Roman" w:hAnsi="Times New Roman" w:eastAsia="宋体" w:cs="Times New Roman"/>
                <w:kern w:val="2"/>
                <w:sz w:val="21"/>
                <w:szCs w:val="24"/>
                <w:lang w:val="en-US" w:eastAsia="zh-CN" w:bidi="ar-SA"/>
              </w:rPr>
            </w:sdtEndPr>
            <w:sdtContent>
              <w:r>
                <w:rPr>
                  <w:rFonts w:hint="default" w:ascii="方正楷体_GBK" w:hAnsi="方正楷体_GBK" w:eastAsia="方正楷体_GBK" w:cs="方正楷体_GBK"/>
                </w:rPr>
                <w:t>（三）项目组织实施情况</w:t>
              </w:r>
            </w:sdtContent>
          </w:sdt>
          <w:r>
            <w:tab/>
          </w:r>
          <w:bookmarkStart w:id="63" w:name="_Toc818652913_WPSOffice_Level3Page"/>
          <w:r>
            <w:t>31</w:t>
          </w:r>
          <w:bookmarkEnd w:id="63"/>
          <w:r>
            <w:fldChar w:fldCharType="end"/>
          </w:r>
        </w:p>
        <w:p>
          <w:pPr>
            <w:pStyle w:val="32"/>
            <w:tabs>
              <w:tab w:val="right" w:leader="dot" w:pos="8788"/>
            </w:tabs>
          </w:pPr>
          <w:r>
            <w:fldChar w:fldCharType="begin"/>
          </w:r>
          <w:r>
            <w:instrText xml:space="preserve"> HYPERLINK \l _Toc818652913_WPSOffice_Level2 </w:instrText>
          </w:r>
          <w:r>
            <w:fldChar w:fldCharType="separate"/>
          </w:r>
          <w:sdt>
            <w:sdtPr>
              <w:rPr>
                <w:rFonts w:ascii="Times New Roman" w:hAnsi="Times New Roman" w:eastAsia="宋体" w:cs="Times New Roman"/>
                <w:kern w:val="2"/>
                <w:sz w:val="21"/>
                <w:szCs w:val="24"/>
                <w:lang w:val="en-US" w:eastAsia="zh-CN" w:bidi="ar-SA"/>
              </w:rPr>
              <w:id w:val="501944349"/>
              <w:placeholder>
                <w:docPart w:val="{f500878a-0646-4729-bec0-8631d32bf79b}"/>
              </w:placeholder>
            </w:sdtPr>
            <w:sdtEndPr>
              <w:rPr>
                <w:rFonts w:ascii="Times New Roman" w:hAnsi="Times New Roman" w:eastAsia="宋体" w:cs="Times New Roman"/>
                <w:kern w:val="2"/>
                <w:sz w:val="21"/>
                <w:szCs w:val="24"/>
                <w:lang w:val="en-US" w:eastAsia="zh-CN" w:bidi="ar-SA"/>
              </w:rPr>
            </w:sdtEndPr>
            <w:sdtContent>
              <w:r>
                <w:rPr>
                  <w:rFonts w:hint="eastAsia" w:ascii="方正黑体_GBK" w:hAnsi="方正黑体_GBK" w:eastAsia="方正黑体_GBK" w:cs="方正黑体_GBK"/>
                </w:rPr>
                <w:t>三、项目绩效情况</w:t>
              </w:r>
            </w:sdtContent>
          </w:sdt>
          <w:r>
            <w:tab/>
          </w:r>
          <w:bookmarkStart w:id="64" w:name="_Toc818652913_WPSOffice_Level2Page"/>
          <w:r>
            <w:t>31</w:t>
          </w:r>
          <w:bookmarkEnd w:id="64"/>
          <w:r>
            <w:fldChar w:fldCharType="end"/>
          </w:r>
        </w:p>
        <w:p>
          <w:pPr>
            <w:pStyle w:val="33"/>
            <w:tabs>
              <w:tab w:val="right" w:leader="dot" w:pos="8788"/>
            </w:tabs>
          </w:pPr>
          <w:r>
            <w:fldChar w:fldCharType="begin"/>
          </w:r>
          <w:r>
            <w:instrText xml:space="preserve"> HYPERLINK \l _Toc1662062578_WPSOffice_Level3 </w:instrText>
          </w:r>
          <w:r>
            <w:fldChar w:fldCharType="separate"/>
          </w:r>
          <w:sdt>
            <w:sdtPr>
              <w:rPr>
                <w:rFonts w:ascii="Times New Roman" w:hAnsi="Times New Roman" w:eastAsia="宋体" w:cs="Times New Roman"/>
                <w:kern w:val="2"/>
                <w:sz w:val="21"/>
                <w:szCs w:val="24"/>
                <w:lang w:val="en-US" w:eastAsia="zh-CN" w:bidi="ar-SA"/>
              </w:rPr>
              <w:id w:val="501944349"/>
              <w:placeholder>
                <w:docPart w:val="{f8c01e21-e126-4825-9317-b017b61c5be3}"/>
              </w:placeholder>
            </w:sdtPr>
            <w:sdtEndPr>
              <w:rPr>
                <w:rFonts w:ascii="Times New Roman" w:hAnsi="Times New Roman" w:eastAsia="宋体" w:cs="Times New Roman"/>
                <w:kern w:val="2"/>
                <w:sz w:val="21"/>
                <w:szCs w:val="24"/>
                <w:lang w:val="en-US" w:eastAsia="zh-CN" w:bidi="ar-SA"/>
              </w:rPr>
            </w:sdtEndPr>
            <w:sdtContent>
              <w:r>
                <w:rPr>
                  <w:rFonts w:hint="eastAsia" w:ascii="方正楷体_GBK" w:hAnsi="方正楷体_GBK" w:eastAsia="方正楷体_GBK" w:cs="方正楷体_GBK"/>
                </w:rPr>
                <w:t>（一）项目完成情况</w:t>
              </w:r>
            </w:sdtContent>
          </w:sdt>
          <w:r>
            <w:tab/>
          </w:r>
          <w:bookmarkStart w:id="65" w:name="_Toc1662062578_WPSOffice_Level3Page"/>
          <w:r>
            <w:t>31</w:t>
          </w:r>
          <w:bookmarkEnd w:id="65"/>
          <w:r>
            <w:fldChar w:fldCharType="end"/>
          </w:r>
        </w:p>
        <w:p>
          <w:pPr>
            <w:pStyle w:val="33"/>
            <w:tabs>
              <w:tab w:val="right" w:leader="dot" w:pos="8788"/>
            </w:tabs>
          </w:pPr>
          <w:r>
            <w:fldChar w:fldCharType="begin"/>
          </w:r>
          <w:r>
            <w:instrText xml:space="preserve"> HYPERLINK \l _Toc758273621_WPSOffice_Level3 </w:instrText>
          </w:r>
          <w:r>
            <w:fldChar w:fldCharType="separate"/>
          </w:r>
          <w:sdt>
            <w:sdtPr>
              <w:rPr>
                <w:rFonts w:ascii="Times New Roman" w:hAnsi="Times New Roman" w:eastAsia="宋体" w:cs="Times New Roman"/>
                <w:kern w:val="2"/>
                <w:sz w:val="21"/>
                <w:szCs w:val="24"/>
                <w:lang w:val="en-US" w:eastAsia="zh-CN" w:bidi="ar-SA"/>
              </w:rPr>
              <w:id w:val="501944349"/>
              <w:placeholder>
                <w:docPart w:val="{b57e27ac-dbce-4540-80c7-06dd7f94959b}"/>
              </w:placeholder>
            </w:sdtPr>
            <w:sdtEndPr>
              <w:rPr>
                <w:rFonts w:ascii="Times New Roman" w:hAnsi="Times New Roman" w:eastAsia="宋体" w:cs="Times New Roman"/>
                <w:kern w:val="2"/>
                <w:sz w:val="21"/>
                <w:szCs w:val="24"/>
                <w:lang w:val="en-US" w:eastAsia="zh-CN" w:bidi="ar-SA"/>
              </w:rPr>
            </w:sdtEndPr>
            <w:sdtContent>
              <w:r>
                <w:rPr>
                  <w:rFonts w:hint="eastAsia" w:ascii="方正楷体_GBK" w:hAnsi="方正楷体_GBK" w:eastAsia="方正楷体_GBK" w:cs="方正楷体_GBK"/>
                </w:rPr>
                <w:t>（二）项目效益情况</w:t>
              </w:r>
            </w:sdtContent>
          </w:sdt>
          <w:r>
            <w:tab/>
          </w:r>
          <w:bookmarkStart w:id="66" w:name="_Toc758273621_WPSOffice_Level3Page"/>
          <w:r>
            <w:t>31</w:t>
          </w:r>
          <w:bookmarkEnd w:id="66"/>
          <w:r>
            <w:fldChar w:fldCharType="end"/>
          </w:r>
        </w:p>
        <w:p>
          <w:pPr>
            <w:pStyle w:val="32"/>
            <w:tabs>
              <w:tab w:val="right" w:leader="dot" w:pos="8788"/>
            </w:tabs>
          </w:pPr>
          <w:r>
            <w:fldChar w:fldCharType="begin"/>
          </w:r>
          <w:r>
            <w:instrText xml:space="preserve"> HYPERLINK \l _Toc1662062578_WPSOffice_Level2 </w:instrText>
          </w:r>
          <w:r>
            <w:fldChar w:fldCharType="separate"/>
          </w:r>
          <w:sdt>
            <w:sdtPr>
              <w:rPr>
                <w:rFonts w:ascii="Times New Roman" w:hAnsi="Times New Roman" w:eastAsia="宋体" w:cs="Times New Roman"/>
                <w:kern w:val="2"/>
                <w:sz w:val="21"/>
                <w:szCs w:val="24"/>
                <w:lang w:val="en-US" w:eastAsia="zh-CN" w:bidi="ar-SA"/>
              </w:rPr>
              <w:id w:val="501944349"/>
              <w:placeholder>
                <w:docPart w:val="{c7ca99db-6803-452f-8f99-3703deba82f1}"/>
              </w:placeholder>
            </w:sdtPr>
            <w:sdtEndPr>
              <w:rPr>
                <w:rFonts w:ascii="Times New Roman" w:hAnsi="Times New Roman" w:eastAsia="宋体" w:cs="Times New Roman"/>
                <w:kern w:val="2"/>
                <w:sz w:val="21"/>
                <w:szCs w:val="24"/>
                <w:lang w:val="en-US" w:eastAsia="zh-CN" w:bidi="ar-SA"/>
              </w:rPr>
            </w:sdtEndPr>
            <w:sdtContent>
              <w:r>
                <w:rPr>
                  <w:rFonts w:hint="eastAsia" w:ascii="方正黑体_GBK" w:hAnsi="方正黑体_GBK" w:eastAsia="方正黑体_GBK" w:cs="方正黑体_GBK"/>
                </w:rPr>
                <w:t>四、问题及建议</w:t>
              </w:r>
            </w:sdtContent>
          </w:sdt>
          <w:r>
            <w:tab/>
          </w:r>
          <w:bookmarkStart w:id="67" w:name="_Toc1662062578_WPSOffice_Level2Page"/>
          <w:r>
            <w:t>32</w:t>
          </w:r>
          <w:bookmarkEnd w:id="67"/>
          <w:r>
            <w:fldChar w:fldCharType="end"/>
          </w:r>
        </w:p>
        <w:p>
          <w:pPr>
            <w:pStyle w:val="33"/>
            <w:tabs>
              <w:tab w:val="right" w:leader="dot" w:pos="8788"/>
            </w:tabs>
          </w:pPr>
          <w:r>
            <w:fldChar w:fldCharType="begin"/>
          </w:r>
          <w:r>
            <w:instrText xml:space="preserve"> HYPERLINK \l _Toc1329859838_WPSOffice_Level3 </w:instrText>
          </w:r>
          <w:r>
            <w:fldChar w:fldCharType="separate"/>
          </w:r>
          <w:sdt>
            <w:sdtPr>
              <w:rPr>
                <w:rFonts w:ascii="Times New Roman" w:hAnsi="Times New Roman" w:eastAsia="宋体" w:cs="Times New Roman"/>
                <w:kern w:val="2"/>
                <w:sz w:val="21"/>
                <w:szCs w:val="24"/>
                <w:lang w:val="en-US" w:eastAsia="zh-CN" w:bidi="ar-SA"/>
              </w:rPr>
              <w:id w:val="501944349"/>
              <w:placeholder>
                <w:docPart w:val="{5bb8eafd-b83d-4e77-9c75-1df999aba5a1}"/>
              </w:placeholder>
            </w:sdtPr>
            <w:sdtEndPr>
              <w:rPr>
                <w:rFonts w:ascii="Times New Roman" w:hAnsi="Times New Roman" w:eastAsia="宋体" w:cs="Times New Roman"/>
                <w:kern w:val="2"/>
                <w:sz w:val="21"/>
                <w:szCs w:val="24"/>
                <w:lang w:val="en-US" w:eastAsia="zh-CN" w:bidi="ar-SA"/>
              </w:rPr>
            </w:sdtEndPr>
            <w:sdtContent>
              <w:r>
                <w:rPr>
                  <w:rFonts w:hint="eastAsia" w:ascii="方正楷体_GBK" w:hAnsi="方正楷体_GBK" w:eastAsia="方正楷体_GBK" w:cs="方正楷体_GBK"/>
                </w:rPr>
                <w:t>（一）存在的问题</w:t>
              </w:r>
            </w:sdtContent>
          </w:sdt>
          <w:r>
            <w:tab/>
          </w:r>
          <w:bookmarkStart w:id="68" w:name="_Toc1329859838_WPSOffice_Level3Page"/>
          <w:r>
            <w:t>32</w:t>
          </w:r>
          <w:bookmarkEnd w:id="68"/>
          <w:r>
            <w:fldChar w:fldCharType="end"/>
          </w:r>
        </w:p>
        <w:p>
          <w:pPr>
            <w:pStyle w:val="33"/>
            <w:tabs>
              <w:tab w:val="right" w:leader="dot" w:pos="8788"/>
            </w:tabs>
          </w:pPr>
          <w:r>
            <w:fldChar w:fldCharType="begin"/>
          </w:r>
          <w:r>
            <w:instrText xml:space="preserve"> HYPERLINK \l _Toc1224461412_WPSOffice_Level3 </w:instrText>
          </w:r>
          <w:r>
            <w:fldChar w:fldCharType="separate"/>
          </w:r>
          <w:sdt>
            <w:sdtPr>
              <w:rPr>
                <w:rFonts w:ascii="Times New Roman" w:hAnsi="Times New Roman" w:eastAsia="宋体" w:cs="Times New Roman"/>
                <w:kern w:val="2"/>
                <w:sz w:val="21"/>
                <w:szCs w:val="24"/>
                <w:lang w:val="en-US" w:eastAsia="zh-CN" w:bidi="ar-SA"/>
              </w:rPr>
              <w:id w:val="501944349"/>
              <w:placeholder>
                <w:docPart w:val="{41c1b77d-ad8c-42af-aa5c-28c8de3db9b2}"/>
              </w:placeholder>
            </w:sdtPr>
            <w:sdtEndPr>
              <w:rPr>
                <w:rFonts w:ascii="Times New Roman" w:hAnsi="Times New Roman" w:eastAsia="宋体" w:cs="Times New Roman"/>
                <w:kern w:val="2"/>
                <w:sz w:val="21"/>
                <w:szCs w:val="24"/>
                <w:lang w:val="en-US" w:eastAsia="zh-CN" w:bidi="ar-SA"/>
              </w:rPr>
            </w:sdtEndPr>
            <w:sdtContent>
              <w:r>
                <w:rPr>
                  <w:rFonts w:hint="eastAsia" w:ascii="方正楷体_GBK" w:hAnsi="方正楷体_GBK" w:eastAsia="方正楷体_GBK" w:cs="方正楷体_GBK"/>
                </w:rPr>
                <w:t>（二） 相关建议</w:t>
              </w:r>
            </w:sdtContent>
          </w:sdt>
          <w:r>
            <w:tab/>
          </w:r>
          <w:bookmarkStart w:id="69" w:name="_Toc1224461412_WPSOffice_Level3Page"/>
          <w:r>
            <w:t>32</w:t>
          </w:r>
          <w:bookmarkEnd w:id="69"/>
          <w:r>
            <w:fldChar w:fldCharType="end"/>
          </w:r>
        </w:p>
        <w:p>
          <w:pPr>
            <w:pStyle w:val="31"/>
            <w:tabs>
              <w:tab w:val="right" w:leader="dot" w:pos="8788"/>
            </w:tabs>
            <w:rPr>
              <w:rFonts w:hint="default" w:eastAsia="宋体"/>
              <w:lang w:val="en-US" w:eastAsia="zh-CN"/>
            </w:rPr>
          </w:pPr>
          <w:r>
            <w:fldChar w:fldCharType="begin"/>
          </w:r>
          <w:r>
            <w:instrText xml:space="preserve"> HYPERLINK \l _Toc187644787_WPSOffice_Level1 </w:instrText>
          </w:r>
          <w:r>
            <w:fldChar w:fldCharType="separate"/>
          </w:r>
          <w:sdt>
            <w:sdtPr>
              <w:rPr>
                <w:rFonts w:ascii="Times New Roman" w:hAnsi="Times New Roman" w:eastAsia="宋体" w:cs="Times New Roman"/>
                <w:kern w:val="2"/>
                <w:sz w:val="21"/>
                <w:szCs w:val="24"/>
                <w:lang w:val="en-US" w:eastAsia="zh-CN" w:bidi="ar-SA"/>
              </w:rPr>
              <w:id w:val="501944349"/>
              <w:placeholder>
                <w:docPart w:val="{a9cd28e9-1f71-443a-8d4c-c4ff2f120ebc}"/>
              </w:placeholder>
            </w:sdtPr>
            <w:sdtEndPr>
              <w:rPr>
                <w:rFonts w:ascii="Times New Roman" w:hAnsi="Times New Roman" w:eastAsia="宋体" w:cs="Times New Roman"/>
                <w:kern w:val="2"/>
                <w:sz w:val="21"/>
                <w:szCs w:val="24"/>
                <w:lang w:val="en-US" w:eastAsia="zh-CN" w:bidi="ar-SA"/>
              </w:rPr>
            </w:sdtEndPr>
            <w:sdtContent>
              <w:r>
                <w:rPr>
                  <w:rFonts w:hint="eastAsia" w:ascii="黑体" w:hAnsi="黑体" w:eastAsia="黑体" w:cs="Times New Roman"/>
                </w:rPr>
                <w:t>第五部分 附表</w:t>
              </w:r>
            </w:sdtContent>
          </w:sdt>
          <w:r>
            <w:tab/>
          </w:r>
          <w:r>
            <w:rPr>
              <w:rFonts w:hint="eastAsia"/>
              <w:lang w:val="en-US" w:eastAsia="zh-CN"/>
            </w:rPr>
            <w:t>3</w:t>
          </w:r>
          <w:r>
            <w:fldChar w:fldCharType="end"/>
          </w:r>
          <w:r>
            <w:rPr>
              <w:rFonts w:hint="eastAsia"/>
              <w:lang w:val="en-US" w:eastAsia="zh-CN"/>
            </w:rPr>
            <w:t>2</w:t>
          </w:r>
        </w:p>
        <w:bookmarkEnd w:id="12"/>
        <w:p>
          <w:pPr>
            <w:pStyle w:val="32"/>
            <w:tabs>
              <w:tab w:val="right" w:leader="dot" w:pos="8788"/>
            </w:tabs>
          </w:pPr>
        </w:p>
      </w:sdtContent>
    </w:sdt>
    <w:p>
      <w:pPr>
        <w:pStyle w:val="12"/>
        <w:adjustRightInd w:val="0"/>
        <w:snapToGrid w:val="0"/>
        <w:spacing w:line="440" w:lineRule="exact"/>
        <w:jc w:val="left"/>
        <w:rPr>
          <w:rFonts w:ascii="仿宋" w:hAnsi="仿宋" w:eastAsia="仿宋" w:cstheme="minorBidi"/>
          <w:sz w:val="24"/>
        </w:rPr>
      </w:pPr>
    </w:p>
    <w:p>
      <w:pPr>
        <w:widowControl/>
        <w:spacing w:line="440" w:lineRule="exact"/>
        <w:jc w:val="left"/>
        <w:rPr>
          <w:rFonts w:ascii="仿宋" w:hAnsi="仿宋" w:eastAsia="仿宋"/>
          <w:bCs/>
          <w:kern w:val="44"/>
          <w:sz w:val="24"/>
        </w:rPr>
      </w:pPr>
      <w:bookmarkStart w:id="70" w:name="_Toc15377196"/>
      <w:bookmarkStart w:id="71" w:name="_Toc15396599"/>
      <w:r>
        <w:rPr>
          <w:rFonts w:ascii="仿宋" w:hAnsi="仿宋" w:eastAsia="仿宋"/>
          <w:b/>
          <w:sz w:val="24"/>
        </w:rPr>
        <w:br w:type="page"/>
      </w:r>
    </w:p>
    <w:p>
      <w:pPr>
        <w:pStyle w:val="3"/>
        <w:jc w:val="center"/>
        <w:rPr>
          <w:rStyle w:val="25"/>
          <w:rFonts w:ascii="黑体" w:hAnsi="黑体" w:eastAsia="黑体"/>
          <w:b/>
          <w:bCs w:val="0"/>
        </w:rPr>
      </w:pPr>
      <w:bookmarkStart w:id="72" w:name="_Toc1763674126_WPSOffice_Level1"/>
      <w:r>
        <w:rPr>
          <w:rFonts w:hint="eastAsia" w:ascii="黑体" w:hAnsi="黑体" w:eastAsia="黑体"/>
          <w:b w:val="0"/>
        </w:rPr>
        <w:t xml:space="preserve">第一部分 </w:t>
      </w:r>
      <w:r>
        <w:rPr>
          <w:rStyle w:val="25"/>
          <w:rFonts w:hint="eastAsia" w:ascii="黑体" w:hAnsi="黑体" w:eastAsia="黑体"/>
          <w:b w:val="0"/>
          <w:bCs w:val="0"/>
        </w:rPr>
        <w:t>部门概况</w:t>
      </w:r>
      <w:bookmarkEnd w:id="70"/>
      <w:bookmarkEnd w:id="71"/>
      <w:bookmarkEnd w:id="72"/>
    </w:p>
    <w:p>
      <w:pPr>
        <w:widowControl/>
        <w:jc w:val="left"/>
        <w:rPr>
          <w:rFonts w:ascii="黑体" w:eastAsia="黑体"/>
          <w:color w:val="000000"/>
          <w:sz w:val="32"/>
          <w:szCs w:val="32"/>
        </w:rPr>
      </w:pPr>
    </w:p>
    <w:p>
      <w:pPr>
        <w:pStyle w:val="4"/>
        <w:rPr>
          <w:rStyle w:val="26"/>
          <w:rFonts w:ascii="仿宋" w:hAnsi="仿宋" w:eastAsia="仿宋"/>
          <w:b w:val="0"/>
          <w:bCs w:val="0"/>
        </w:rPr>
      </w:pPr>
      <w:bookmarkStart w:id="73" w:name="_Toc318884909_WPSOffice_Level2"/>
      <w:bookmarkStart w:id="74" w:name="_Toc15396600"/>
      <w:bookmarkStart w:id="75" w:name="_Toc15377197"/>
      <w:r>
        <w:rPr>
          <w:rFonts w:hint="eastAsia" w:ascii="黑体" w:hAnsi="黑体" w:eastAsia="黑体"/>
          <w:b w:val="0"/>
          <w:color w:val="000000"/>
        </w:rPr>
        <w:t>一、基</w:t>
      </w:r>
      <w:r>
        <w:rPr>
          <w:rStyle w:val="26"/>
          <w:rFonts w:hint="eastAsia" w:ascii="黑体" w:hAnsi="黑体" w:eastAsia="黑体"/>
          <w:b w:val="0"/>
          <w:bCs w:val="0"/>
        </w:rPr>
        <w:t>本职能及主要工作</w:t>
      </w:r>
      <w:bookmarkEnd w:id="73"/>
      <w:bookmarkEnd w:id="74"/>
      <w:bookmarkEnd w:id="75"/>
    </w:p>
    <w:p>
      <w:pPr>
        <w:pStyle w:val="6"/>
        <w:adjustRightInd w:val="0"/>
        <w:snapToGrid w:val="0"/>
        <w:spacing w:before="93" w:line="600" w:lineRule="exact"/>
        <w:ind w:firstLine="672" w:firstLineChars="210"/>
        <w:outlineLvl w:val="2"/>
        <w:rPr>
          <w:rFonts w:hint="eastAsia" w:ascii="仿宋" w:hAnsi="仿宋" w:eastAsia="仿宋"/>
          <w:bCs/>
          <w:color w:val="000000"/>
          <w:sz w:val="32"/>
          <w:szCs w:val="32"/>
        </w:rPr>
      </w:pPr>
      <w:bookmarkStart w:id="76" w:name="_Toc318884909_WPSOffice_Level3"/>
      <w:bookmarkStart w:id="77" w:name="_Toc15378445"/>
      <w:bookmarkStart w:id="78" w:name="_Toc15377198"/>
      <w:r>
        <w:rPr>
          <w:rFonts w:hint="eastAsia" w:ascii="仿宋" w:hAnsi="仿宋" w:eastAsia="仿宋"/>
          <w:bCs/>
          <w:color w:val="000000"/>
          <w:sz w:val="32"/>
          <w:szCs w:val="32"/>
        </w:rPr>
        <w:t>（一）主要职能。</w:t>
      </w:r>
      <w:bookmarkEnd w:id="76"/>
    </w:p>
    <w:bookmarkEnd w:id="77"/>
    <w:bookmarkEnd w:id="78"/>
    <w:p>
      <w:pPr>
        <w:pStyle w:val="6"/>
        <w:adjustRightInd w:val="0"/>
        <w:snapToGrid w:val="0"/>
        <w:spacing w:before="93" w:line="600" w:lineRule="exact"/>
        <w:ind w:firstLine="672" w:firstLineChars="210"/>
        <w:outlineLvl w:val="9"/>
        <w:rPr>
          <w:rFonts w:hint="eastAsia" w:ascii="仿宋" w:hAnsi="仿宋" w:eastAsia="仿宋"/>
          <w:bCs/>
          <w:color w:val="000000"/>
          <w:sz w:val="32"/>
          <w:szCs w:val="32"/>
        </w:rPr>
      </w:pPr>
      <w:bookmarkStart w:id="79" w:name="_Toc15377199"/>
      <w:bookmarkStart w:id="80" w:name="_Toc15378446"/>
      <w:r>
        <w:rPr>
          <w:rFonts w:hint="eastAsia" w:ascii="仿宋" w:hAnsi="仿宋" w:eastAsia="仿宋"/>
          <w:bCs/>
          <w:color w:val="000000"/>
          <w:sz w:val="32"/>
          <w:szCs w:val="32"/>
        </w:rPr>
        <w:t>(1)发挥好全国干部党性教育基地作用,面向国内国(境)外开展多种形式的委托培训和合作培训；(2)学习、宣传、研究中国特色社会主义理论体系,围绕重大理论、重大现实和相关学科前沿问题开展哲学社会科学研究,开展决策咨询；(3)充分利用以邓小平故里、华蓥山武装斗争为核心的优势红色资源,培育和打造全国党性救育品牌；(4)开展与国内国(境)外救育、培训、研究等机构和组织的交流与合作；(5)按照干部教育培训规划，有计划地培训、轮训党员领导干部、中青年后备干部和理论宣传骨干等群体；（6）接受上级党校和高校委托，开展在职研究生教育及其他上级交办的任务。</w:t>
      </w:r>
    </w:p>
    <w:p>
      <w:pPr>
        <w:pStyle w:val="6"/>
        <w:adjustRightInd w:val="0"/>
        <w:snapToGrid w:val="0"/>
        <w:spacing w:before="93" w:line="600" w:lineRule="exact"/>
        <w:ind w:firstLine="672" w:firstLineChars="210"/>
        <w:outlineLvl w:val="2"/>
        <w:rPr>
          <w:rFonts w:hint="eastAsia" w:ascii="仿宋" w:hAnsi="仿宋" w:eastAsia="仿宋"/>
          <w:bCs/>
          <w:color w:val="000000"/>
          <w:sz w:val="32"/>
          <w:szCs w:val="32"/>
          <w:highlight w:val="yellow"/>
        </w:rPr>
      </w:pPr>
      <w:bookmarkStart w:id="81" w:name="_Toc51177215_WPSOffice_Level3"/>
      <w:r>
        <w:rPr>
          <w:rFonts w:hint="eastAsia" w:ascii="仿宋" w:hAnsi="仿宋" w:eastAsia="仿宋"/>
          <w:bCs/>
          <w:color w:val="000000"/>
          <w:sz w:val="32"/>
          <w:szCs w:val="32"/>
          <w:highlight w:val="none"/>
        </w:rPr>
        <w:t>（二）</w:t>
      </w:r>
      <w:r>
        <w:rPr>
          <w:rFonts w:ascii="仿宋" w:hAnsi="仿宋" w:eastAsia="仿宋"/>
          <w:bCs/>
          <w:color w:val="000000"/>
          <w:sz w:val="32"/>
          <w:szCs w:val="32"/>
          <w:highlight w:val="none"/>
        </w:rPr>
        <w:t>20</w:t>
      </w:r>
      <w:r>
        <w:rPr>
          <w:rFonts w:hint="eastAsia" w:ascii="仿宋" w:hAnsi="仿宋" w:eastAsia="仿宋"/>
          <w:bCs/>
          <w:color w:val="000000"/>
          <w:sz w:val="32"/>
          <w:szCs w:val="32"/>
          <w:highlight w:val="none"/>
        </w:rPr>
        <w:t>2</w:t>
      </w:r>
      <w:r>
        <w:rPr>
          <w:rFonts w:hint="eastAsia" w:ascii="仿宋" w:hAnsi="仿宋" w:eastAsia="仿宋"/>
          <w:bCs/>
          <w:color w:val="000000"/>
          <w:sz w:val="32"/>
          <w:szCs w:val="32"/>
          <w:highlight w:val="none"/>
          <w:lang w:val="en-US" w:eastAsia="zh-CN"/>
        </w:rPr>
        <w:t>1</w:t>
      </w:r>
      <w:r>
        <w:rPr>
          <w:rFonts w:hint="eastAsia" w:ascii="仿宋" w:hAnsi="仿宋" w:eastAsia="仿宋"/>
          <w:bCs/>
          <w:color w:val="000000"/>
          <w:sz w:val="32"/>
          <w:szCs w:val="32"/>
          <w:highlight w:val="none"/>
        </w:rPr>
        <w:t>年重点工作完成情况。</w:t>
      </w:r>
      <w:bookmarkEnd w:id="79"/>
      <w:bookmarkEnd w:id="80"/>
      <w:bookmarkEnd w:id="81"/>
    </w:p>
    <w:p>
      <w:pPr>
        <w:spacing w:line="590" w:lineRule="exact"/>
        <w:ind w:firstLine="660" w:firstLineChars="200"/>
        <w:rPr>
          <w:rFonts w:eastAsia="方正仿宋_GBK"/>
          <w:sz w:val="33"/>
          <w:szCs w:val="33"/>
        </w:rPr>
      </w:pPr>
      <w:r>
        <w:rPr>
          <w:rFonts w:hint="eastAsia" w:eastAsia="方正仿宋_GBK" w:cs="宋体"/>
          <w:sz w:val="33"/>
          <w:szCs w:val="33"/>
        </w:rPr>
        <w:t>一是全力完成培训任务。</w:t>
      </w:r>
      <w:r>
        <w:rPr>
          <w:rFonts w:hint="eastAsia" w:eastAsia="方正仿宋_GBK" w:cs="方正仿宋_GBK"/>
          <w:sz w:val="33"/>
          <w:szCs w:val="33"/>
        </w:rPr>
        <w:t>克服疫情影响，及时复工复产</w:t>
      </w:r>
      <w:r>
        <w:rPr>
          <w:rFonts w:hint="eastAsia" w:eastAsia="方正仿宋_GBK" w:cs="宋体"/>
          <w:sz w:val="33"/>
          <w:szCs w:val="33"/>
        </w:rPr>
        <w:t>，仅用半年时间</w:t>
      </w:r>
      <w:r>
        <w:rPr>
          <w:rFonts w:hint="eastAsia" w:eastAsia="方正仿宋_GBK"/>
          <w:sz w:val="33"/>
          <w:szCs w:val="33"/>
        </w:rPr>
        <w:t>举办培训班271期、22678人。其中，市内班122期、13889人，市外省内班107期、6549人，省外班42期、2240人（含首次举办的澳门培训班1期、16人）。</w:t>
      </w:r>
      <w:r>
        <w:rPr>
          <w:rFonts w:eastAsia="方正仿宋_GBK"/>
          <w:sz w:val="33"/>
          <w:szCs w:val="33"/>
        </w:rPr>
        <w:t>学员满意率达9</w:t>
      </w:r>
      <w:r>
        <w:rPr>
          <w:rFonts w:hint="eastAsia" w:eastAsia="方正仿宋_GBK"/>
          <w:sz w:val="33"/>
          <w:szCs w:val="33"/>
        </w:rPr>
        <w:t>8.6</w:t>
      </w:r>
      <w:r>
        <w:rPr>
          <w:rFonts w:eastAsia="方正仿宋_GBK"/>
          <w:sz w:val="33"/>
          <w:szCs w:val="33"/>
        </w:rPr>
        <w:t>％</w:t>
      </w:r>
      <w:r>
        <w:rPr>
          <w:rFonts w:hint="eastAsia" w:eastAsia="方正仿宋_GBK"/>
          <w:sz w:val="33"/>
          <w:szCs w:val="33"/>
        </w:rPr>
        <w:t>。</w:t>
      </w:r>
    </w:p>
    <w:p>
      <w:pPr>
        <w:spacing w:line="590" w:lineRule="exact"/>
        <w:ind w:firstLine="660" w:firstLineChars="200"/>
        <w:rPr>
          <w:rFonts w:eastAsia="方正仿宋_GBK"/>
          <w:sz w:val="33"/>
          <w:szCs w:val="33"/>
        </w:rPr>
      </w:pPr>
      <w:r>
        <w:rPr>
          <w:rFonts w:hint="eastAsia" w:eastAsia="方正仿宋_GBK" w:cs="宋体"/>
          <w:sz w:val="33"/>
          <w:szCs w:val="33"/>
        </w:rPr>
        <w:t>二是扎实开展理论研究。</w:t>
      </w:r>
      <w:r>
        <w:rPr>
          <w:rFonts w:hint="eastAsia" w:eastAsia="方正仿宋_GBK"/>
          <w:sz w:val="33"/>
          <w:szCs w:val="33"/>
        </w:rPr>
        <w:t>全年立项课题44项，发表论文6篇，入选理论研讨会论文7篇，撰写决策咨询报告8篇，编发院（校）刊《广安论坛》4期。其中，1项课题获中央党校立项，2篇论文入选中央党校理论研讨会，1篇决策咨询报告获杨兴平副省长批转，4篇决策咨询报告获市委建勤书记肯定性批示，1本专著公开出版，均为院（校）首次突破。</w:t>
      </w:r>
    </w:p>
    <w:p>
      <w:pPr>
        <w:spacing w:line="590" w:lineRule="exact"/>
        <w:ind w:firstLine="660" w:firstLineChars="200"/>
        <w:rPr>
          <w:rFonts w:eastAsia="方正仿宋_GBK"/>
          <w:sz w:val="33"/>
          <w:szCs w:val="33"/>
        </w:rPr>
      </w:pPr>
      <w:r>
        <w:rPr>
          <w:rFonts w:hint="eastAsia" w:eastAsia="方正仿宋_GBK" w:cs="宋体"/>
          <w:sz w:val="33"/>
          <w:szCs w:val="33"/>
        </w:rPr>
        <w:t>三是持续强化推介宣传。与珠海市签订1亿元的“珠海大礼堂”捐建协议，与宜宾市达成“五粮液体育馆”捐建意向，衔接泸州老窖股份有限公司助力学院建设发展，</w:t>
      </w:r>
      <w:r>
        <w:rPr>
          <w:rFonts w:hint="eastAsia" w:eastAsia="方正仿宋_GBK"/>
          <w:kern w:val="0"/>
          <w:sz w:val="33"/>
          <w:szCs w:val="33"/>
        </w:rPr>
        <w:t>与全国各地的31个单位实现共建共享，全国律师行业协会等10多个省厅单位在学院挂牌建基地。对外发布</w:t>
      </w:r>
      <w:r>
        <w:rPr>
          <w:rFonts w:hint="eastAsia" w:eastAsia="方正仿宋_GBK"/>
          <w:sz w:val="33"/>
          <w:szCs w:val="33"/>
        </w:rPr>
        <w:t>视频动态53期、新闻181条，向全国各地寄送宣传资料2万余册。</w:t>
      </w:r>
    </w:p>
    <w:p>
      <w:pPr>
        <w:pStyle w:val="6"/>
        <w:adjustRightInd w:val="0"/>
        <w:snapToGrid w:val="0"/>
        <w:spacing w:before="93" w:line="600" w:lineRule="exact"/>
        <w:ind w:firstLine="692" w:firstLineChars="210"/>
        <w:outlineLvl w:val="9"/>
        <w:rPr>
          <w:rFonts w:hint="eastAsia" w:ascii="仿宋" w:hAnsi="仿宋" w:eastAsia="仿宋"/>
          <w:bCs/>
          <w:color w:val="000000"/>
          <w:sz w:val="32"/>
          <w:szCs w:val="32"/>
          <w:highlight w:val="yellow"/>
        </w:rPr>
      </w:pPr>
      <w:r>
        <w:rPr>
          <w:rFonts w:hint="eastAsia" w:eastAsia="方正仿宋_GBK" w:cs="宋体"/>
          <w:kern w:val="0"/>
          <w:sz w:val="33"/>
          <w:szCs w:val="33"/>
        </w:rPr>
        <w:t>四是特色课开发量质齐升。</w:t>
      </w:r>
      <w:r>
        <w:rPr>
          <w:rFonts w:hint="eastAsia" w:eastAsia="方正仿宋_GBK" w:cs="宋体"/>
          <w:sz w:val="33"/>
          <w:szCs w:val="33"/>
        </w:rPr>
        <w:t>同步推进课程提升和研发工作,开发特色专题课；</w:t>
      </w:r>
      <w:r>
        <w:rPr>
          <w:rFonts w:hint="eastAsia" w:eastAsia="方正仿宋_GBK"/>
          <w:sz w:val="33"/>
          <w:szCs w:val="33"/>
        </w:rPr>
        <w:t>打造新的现场教学点，研发车载教学线路4条，形成了“红色教育、改革开放、乡村振兴、小平足迹”四大主干教学线路。</w:t>
      </w:r>
    </w:p>
    <w:p>
      <w:pPr>
        <w:pStyle w:val="4"/>
        <w:rPr>
          <w:rStyle w:val="26"/>
          <w:b w:val="0"/>
          <w:bCs w:val="0"/>
          <w:highlight w:val="none"/>
        </w:rPr>
      </w:pPr>
      <w:bookmarkStart w:id="82" w:name="_Toc15377200"/>
      <w:bookmarkStart w:id="83" w:name="_Toc51177215_WPSOffice_Level2"/>
      <w:bookmarkStart w:id="84" w:name="_Toc15396601"/>
      <w:r>
        <w:rPr>
          <w:rFonts w:hint="eastAsia" w:ascii="黑体" w:eastAsia="黑体"/>
          <w:b w:val="0"/>
          <w:color w:val="000000"/>
          <w:highlight w:val="none"/>
        </w:rPr>
        <w:t>二、</w:t>
      </w:r>
      <w:r>
        <w:rPr>
          <w:rFonts w:hint="eastAsia" w:ascii="黑体" w:hAnsi="黑体" w:eastAsia="黑体"/>
          <w:b w:val="0"/>
          <w:color w:val="000000"/>
          <w:highlight w:val="none"/>
        </w:rPr>
        <w:t>机</w:t>
      </w:r>
      <w:r>
        <w:rPr>
          <w:rStyle w:val="26"/>
          <w:rFonts w:hint="eastAsia" w:ascii="黑体" w:hAnsi="黑体" w:eastAsia="黑体"/>
          <w:b w:val="0"/>
          <w:bCs w:val="0"/>
          <w:highlight w:val="none"/>
        </w:rPr>
        <w:t>构设置</w:t>
      </w:r>
      <w:bookmarkEnd w:id="82"/>
      <w:bookmarkEnd w:id="83"/>
      <w:bookmarkEnd w:id="84"/>
    </w:p>
    <w:p>
      <w:pPr>
        <w:widowControl/>
        <w:ind w:firstLine="660" w:firstLineChars="200"/>
        <w:jc w:val="left"/>
        <w:rPr>
          <w:rFonts w:ascii="仿宋" w:hAnsi="仿宋" w:eastAsia="仿宋"/>
          <w:color w:val="000000"/>
          <w:kern w:val="0"/>
          <w:sz w:val="32"/>
          <w:szCs w:val="32"/>
          <w:highlight w:val="yellow"/>
        </w:rPr>
      </w:pPr>
      <w:r>
        <w:rPr>
          <w:rFonts w:hint="eastAsia" w:ascii="仿宋_GB2312" w:hAnsi="Times New Roman" w:eastAsia="方正仿宋_GBK" w:cs="宋体"/>
          <w:kern w:val="0"/>
          <w:sz w:val="33"/>
          <w:szCs w:val="33"/>
          <w:lang w:val="en-US" w:eastAsia="zh-CN" w:bidi="ar-SA"/>
        </w:rPr>
        <w:t>广安市委党校属一级预算单位。内设12个部室（中心），主要包括：办公室（加挂人力资源部牌子）、教务部、培训部、马克思主义基础理论教研部（加挂习近平新时代中国特色社会主义思想研究中心牌子）、党史党建教研部（加挂党性教育研究中心牌子）、经济与管理教研部（加挂改革开放研究中心牌子）、财务部、科研部、对外合作部、信息技术部、后勤保障部、邓小平研究中心（加挂成渝地区双城经济圈建设研究中心牌子）。核定事业编制数58名（其中参公事业编制17名），另有人才专项事业编制20名。</w:t>
      </w:r>
      <w:r>
        <w:rPr>
          <w:rFonts w:ascii="仿宋" w:hAnsi="仿宋" w:eastAsia="仿宋"/>
          <w:color w:val="000000"/>
          <w:sz w:val="32"/>
          <w:szCs w:val="32"/>
          <w:highlight w:val="yellow"/>
        </w:rPr>
        <w:br w:type="page"/>
      </w:r>
    </w:p>
    <w:p>
      <w:pPr>
        <w:pStyle w:val="3"/>
        <w:ind w:right="440"/>
        <w:jc w:val="right"/>
        <w:rPr>
          <w:rStyle w:val="25"/>
          <w:rFonts w:ascii="黑体" w:hAnsi="黑体" w:eastAsia="黑体"/>
          <w:b w:val="0"/>
          <w:bCs w:val="0"/>
        </w:rPr>
      </w:pPr>
      <w:bookmarkStart w:id="85" w:name="_Toc15396602"/>
      <w:bookmarkStart w:id="86" w:name="_Toc455772242_WPSOffice_Level1"/>
      <w:bookmarkStart w:id="87" w:name="_Toc15377204"/>
      <w:r>
        <w:rPr>
          <w:rFonts w:hint="eastAsia" w:ascii="黑体" w:hAnsi="黑体" w:eastAsia="黑体"/>
          <w:b w:val="0"/>
          <w:color w:val="000000"/>
        </w:rPr>
        <w:t>第二部分</w:t>
      </w:r>
      <w:r>
        <w:rPr>
          <w:rFonts w:hint="eastAsia" w:ascii="黑体" w:hAnsi="黑体" w:eastAsia="黑体"/>
          <w:color w:val="000000"/>
        </w:rPr>
        <w:t xml:space="preserve"> </w:t>
      </w:r>
      <w:r>
        <w:rPr>
          <w:rStyle w:val="25"/>
          <w:rFonts w:hint="eastAsia" w:ascii="黑体" w:hAnsi="黑体" w:eastAsia="黑体"/>
          <w:b w:val="0"/>
          <w:bCs w:val="0"/>
        </w:rPr>
        <w:t>202</w:t>
      </w:r>
      <w:r>
        <w:rPr>
          <w:rStyle w:val="25"/>
          <w:rFonts w:hint="eastAsia" w:ascii="黑体" w:hAnsi="黑体" w:eastAsia="黑体"/>
          <w:b w:val="0"/>
          <w:bCs w:val="0"/>
          <w:lang w:val="en-US" w:eastAsia="zh-CN"/>
        </w:rPr>
        <w:t>1</w:t>
      </w:r>
      <w:r>
        <w:rPr>
          <w:rStyle w:val="25"/>
          <w:rFonts w:hint="eastAsia" w:ascii="黑体" w:hAnsi="黑体" w:eastAsia="黑体"/>
          <w:b w:val="0"/>
          <w:bCs w:val="0"/>
        </w:rPr>
        <w:t>年度部门决算情况说明</w:t>
      </w:r>
      <w:bookmarkEnd w:id="85"/>
      <w:bookmarkEnd w:id="86"/>
      <w:bookmarkEnd w:id="87"/>
    </w:p>
    <w:p/>
    <w:p>
      <w:pPr>
        <w:pStyle w:val="24"/>
        <w:numPr>
          <w:ilvl w:val="0"/>
          <w:numId w:val="1"/>
        </w:numPr>
        <w:spacing w:line="600" w:lineRule="exact"/>
        <w:ind w:firstLineChars="0"/>
        <w:outlineLvl w:val="1"/>
        <w:rPr>
          <w:rStyle w:val="26"/>
          <w:rFonts w:ascii="黑体" w:hAnsi="黑体" w:eastAsia="黑体"/>
          <w:b w:val="0"/>
        </w:rPr>
      </w:pPr>
      <w:bookmarkStart w:id="88" w:name="_Toc15396603"/>
      <w:bookmarkStart w:id="89" w:name="_Toc15377205"/>
      <w:bookmarkStart w:id="90" w:name="_Toc854237424_WPSOffice_Level2"/>
      <w:r>
        <w:rPr>
          <w:rFonts w:hint="eastAsia" w:ascii="黑体" w:hAnsi="黑体" w:eastAsia="黑体"/>
          <w:color w:val="000000"/>
          <w:sz w:val="32"/>
          <w:szCs w:val="32"/>
        </w:rPr>
        <w:t>收</w:t>
      </w:r>
      <w:r>
        <w:rPr>
          <w:rStyle w:val="26"/>
          <w:rFonts w:hint="eastAsia" w:ascii="黑体" w:hAnsi="黑体" w:eastAsia="黑体"/>
          <w:b w:val="0"/>
        </w:rPr>
        <w:t>入支出决算总体情况说明</w:t>
      </w:r>
      <w:bookmarkEnd w:id="88"/>
      <w:bookmarkEnd w:id="89"/>
      <w:bookmarkEnd w:id="90"/>
    </w:p>
    <w:p>
      <w:pPr>
        <w:spacing w:line="600" w:lineRule="exact"/>
        <w:ind w:firstLine="420" w:firstLineChars="200"/>
        <w:rPr>
          <w:rFonts w:hint="eastAsia" w:ascii="仿宋" w:hAnsi="仿宋" w:eastAsia="仿宋"/>
          <w:color w:val="000000"/>
          <w:sz w:val="32"/>
          <w:szCs w:val="32"/>
          <w:lang w:eastAsia="zh-CN"/>
        </w:rPr>
      </w:pPr>
      <w:r>
        <w:drawing>
          <wp:anchor distT="0" distB="0" distL="114300" distR="114300" simplePos="0" relativeHeight="251666432" behindDoc="0" locked="0" layoutInCell="1" allowOverlap="1">
            <wp:simplePos x="0" y="0"/>
            <wp:positionH relativeFrom="column">
              <wp:posOffset>109220</wp:posOffset>
            </wp:positionH>
            <wp:positionV relativeFrom="paragraph">
              <wp:posOffset>2290445</wp:posOffset>
            </wp:positionV>
            <wp:extent cx="4572000" cy="2743200"/>
            <wp:effectExtent l="4445" t="4445" r="14605" b="14605"/>
            <wp:wrapSquare wrapText="bothSides"/>
            <wp:docPr id="3" name="图表 2"/>
            <wp:cNvGraphicFramePr/>
            <a:graphic xmlns:a="http://schemas.openxmlformats.org/drawingml/2006/main">
              <a:graphicData uri="http://schemas.openxmlformats.org/drawingml/2006/chart">
                <c:chart xmlns:c="http://schemas.openxmlformats.org/drawingml/2006/chart" xmlns:r="http://schemas.openxmlformats.org/officeDocument/2006/relationships" r:id="rId6"/>
              </a:graphicData>
            </a:graphic>
          </wp:anchor>
        </w:drawing>
      </w:r>
      <w:r>
        <w:rPr>
          <w:rFonts w:hint="eastAsia" w:ascii="仿宋" w:hAnsi="仿宋" w:eastAsia="仿宋"/>
          <w:color w:val="000000"/>
          <w:sz w:val="32"/>
          <w:szCs w:val="32"/>
        </w:rPr>
        <w:t>202</w:t>
      </w:r>
      <w:r>
        <w:rPr>
          <w:rFonts w:hint="eastAsia" w:ascii="仿宋" w:hAnsi="仿宋" w:eastAsia="仿宋"/>
          <w:color w:val="000000"/>
          <w:sz w:val="32"/>
          <w:szCs w:val="32"/>
          <w:lang w:val="en-US" w:eastAsia="zh-CN"/>
        </w:rPr>
        <w:t>1</w:t>
      </w:r>
      <w:r>
        <w:rPr>
          <w:rFonts w:hint="eastAsia" w:ascii="仿宋" w:hAnsi="仿宋" w:eastAsia="仿宋"/>
          <w:color w:val="000000"/>
          <w:sz w:val="32"/>
          <w:szCs w:val="32"/>
        </w:rPr>
        <w:t>年度收</w:t>
      </w:r>
      <w:r>
        <w:rPr>
          <w:rFonts w:hint="eastAsia" w:ascii="仿宋" w:hAnsi="仿宋" w:eastAsia="仿宋"/>
          <w:color w:val="000000"/>
          <w:sz w:val="32"/>
          <w:szCs w:val="32"/>
          <w:lang w:eastAsia="zh-CN"/>
        </w:rPr>
        <w:t>入</w:t>
      </w:r>
      <w:r>
        <w:rPr>
          <w:rFonts w:hint="eastAsia" w:ascii="仿宋" w:hAnsi="仿宋" w:eastAsia="仿宋"/>
          <w:color w:val="000000"/>
          <w:sz w:val="32"/>
          <w:szCs w:val="32"/>
        </w:rPr>
        <w:t>总计</w:t>
      </w:r>
      <w:r>
        <w:rPr>
          <w:rFonts w:hint="eastAsia" w:ascii="仿宋" w:hAnsi="仿宋" w:eastAsia="仿宋"/>
          <w:color w:val="000000"/>
          <w:sz w:val="32"/>
          <w:szCs w:val="32"/>
          <w:lang w:val="en-US" w:eastAsia="zh-CN"/>
        </w:rPr>
        <w:t>14316.53</w:t>
      </w:r>
      <w:r>
        <w:rPr>
          <w:rFonts w:hint="eastAsia" w:ascii="仿宋" w:hAnsi="仿宋" w:eastAsia="仿宋"/>
          <w:color w:val="000000"/>
          <w:sz w:val="32"/>
          <w:szCs w:val="32"/>
          <w:lang w:eastAsia="zh-CN"/>
        </w:rPr>
        <w:t>万元，支出总计</w:t>
      </w:r>
      <w:r>
        <w:rPr>
          <w:rFonts w:hint="eastAsia" w:ascii="仿宋" w:hAnsi="仿宋" w:eastAsia="仿宋"/>
          <w:color w:val="000000"/>
          <w:sz w:val="32"/>
          <w:szCs w:val="32"/>
          <w:lang w:val="en-US" w:eastAsia="zh-CN"/>
        </w:rPr>
        <w:t>14316.53</w:t>
      </w:r>
      <w:r>
        <w:rPr>
          <w:rFonts w:hint="eastAsia" w:ascii="仿宋" w:hAnsi="仿宋" w:eastAsia="仿宋"/>
          <w:color w:val="000000"/>
          <w:sz w:val="32"/>
          <w:szCs w:val="32"/>
        </w:rPr>
        <w:t>万元。与20</w:t>
      </w:r>
      <w:r>
        <w:rPr>
          <w:rFonts w:hint="eastAsia" w:ascii="仿宋" w:hAnsi="仿宋" w:eastAsia="仿宋"/>
          <w:color w:val="000000"/>
          <w:sz w:val="32"/>
          <w:szCs w:val="32"/>
          <w:lang w:val="en-US" w:eastAsia="zh-CN"/>
        </w:rPr>
        <w:t>20</w:t>
      </w:r>
      <w:r>
        <w:rPr>
          <w:rFonts w:hint="eastAsia" w:ascii="仿宋" w:hAnsi="仿宋" w:eastAsia="仿宋"/>
          <w:color w:val="000000"/>
          <w:sz w:val="32"/>
          <w:szCs w:val="32"/>
        </w:rPr>
        <w:t>年相比，收</w:t>
      </w:r>
      <w:r>
        <w:rPr>
          <w:rFonts w:hint="eastAsia" w:ascii="仿宋" w:hAnsi="仿宋" w:eastAsia="仿宋"/>
          <w:color w:val="000000"/>
          <w:sz w:val="32"/>
          <w:szCs w:val="32"/>
          <w:lang w:eastAsia="zh-CN"/>
        </w:rPr>
        <w:t>入</w:t>
      </w:r>
      <w:r>
        <w:rPr>
          <w:rFonts w:hint="eastAsia" w:ascii="仿宋" w:hAnsi="仿宋" w:eastAsia="仿宋"/>
          <w:color w:val="000000"/>
          <w:sz w:val="32"/>
          <w:szCs w:val="32"/>
        </w:rPr>
        <w:t>总计</w:t>
      </w:r>
      <w:r>
        <w:rPr>
          <w:rFonts w:hint="eastAsia" w:ascii="仿宋" w:hAnsi="仿宋" w:eastAsia="仿宋"/>
          <w:color w:val="000000"/>
          <w:sz w:val="32"/>
          <w:szCs w:val="32"/>
          <w:lang w:eastAsia="zh-CN"/>
        </w:rPr>
        <w:t>减少</w:t>
      </w:r>
      <w:r>
        <w:rPr>
          <w:rFonts w:hint="eastAsia" w:ascii="仿宋" w:hAnsi="仿宋" w:eastAsia="仿宋"/>
          <w:color w:val="000000"/>
          <w:sz w:val="32"/>
          <w:szCs w:val="32"/>
          <w:lang w:val="en-US" w:eastAsia="zh-CN"/>
        </w:rPr>
        <w:t>276.44</w:t>
      </w:r>
      <w:r>
        <w:rPr>
          <w:rFonts w:hint="eastAsia" w:ascii="仿宋" w:hAnsi="仿宋" w:eastAsia="仿宋"/>
          <w:color w:val="000000"/>
          <w:sz w:val="32"/>
          <w:szCs w:val="32"/>
          <w:lang w:eastAsia="zh-CN"/>
        </w:rPr>
        <w:t>万元</w:t>
      </w:r>
      <w:r>
        <w:rPr>
          <w:rFonts w:hint="eastAsia" w:ascii="仿宋" w:hAnsi="仿宋" w:eastAsia="仿宋"/>
          <w:color w:val="000000"/>
          <w:sz w:val="32"/>
          <w:szCs w:val="32"/>
        </w:rPr>
        <w:t>，</w:t>
      </w:r>
      <w:r>
        <w:rPr>
          <w:rFonts w:hint="eastAsia" w:ascii="仿宋" w:hAnsi="仿宋" w:eastAsia="仿宋"/>
          <w:color w:val="000000"/>
          <w:sz w:val="32"/>
          <w:szCs w:val="32"/>
          <w:lang w:eastAsia="zh-CN"/>
        </w:rPr>
        <w:t>减少</w:t>
      </w:r>
      <w:r>
        <w:rPr>
          <w:rFonts w:hint="eastAsia" w:ascii="仿宋" w:hAnsi="仿宋" w:eastAsia="仿宋"/>
          <w:color w:val="000000"/>
          <w:sz w:val="32"/>
          <w:szCs w:val="32"/>
          <w:lang w:val="en-US" w:eastAsia="zh-CN"/>
        </w:rPr>
        <w:t>1.89</w:t>
      </w:r>
      <w:r>
        <w:rPr>
          <w:rFonts w:ascii="仿宋" w:hAnsi="仿宋" w:eastAsia="仿宋"/>
          <w:color w:val="000000"/>
          <w:sz w:val="32"/>
          <w:szCs w:val="32"/>
        </w:rPr>
        <w:t>%</w:t>
      </w:r>
      <w:r>
        <w:rPr>
          <w:rFonts w:hint="eastAsia" w:ascii="仿宋" w:hAnsi="仿宋" w:eastAsia="仿宋"/>
          <w:color w:val="000000"/>
          <w:sz w:val="32"/>
          <w:szCs w:val="32"/>
          <w:lang w:eastAsia="zh-CN"/>
        </w:rPr>
        <w:t>，支出总计</w:t>
      </w:r>
      <w:r>
        <w:rPr>
          <w:rFonts w:hint="eastAsia" w:ascii="仿宋" w:hAnsi="仿宋" w:eastAsia="仿宋"/>
          <w:color w:val="000000"/>
          <w:sz w:val="32"/>
          <w:szCs w:val="32"/>
        </w:rPr>
        <w:t>增加</w:t>
      </w:r>
      <w:r>
        <w:rPr>
          <w:rFonts w:hint="eastAsia" w:ascii="仿宋" w:hAnsi="仿宋" w:eastAsia="仿宋"/>
          <w:color w:val="000000"/>
          <w:sz w:val="32"/>
          <w:szCs w:val="32"/>
          <w:lang w:val="en-US" w:eastAsia="zh-CN"/>
        </w:rPr>
        <w:t>276.44</w:t>
      </w:r>
      <w:r>
        <w:rPr>
          <w:rFonts w:hint="eastAsia" w:ascii="仿宋" w:hAnsi="仿宋" w:eastAsia="仿宋"/>
          <w:color w:val="000000"/>
          <w:sz w:val="32"/>
          <w:szCs w:val="32"/>
          <w:lang w:eastAsia="zh-CN"/>
        </w:rPr>
        <w:t>万元</w:t>
      </w:r>
      <w:r>
        <w:rPr>
          <w:rFonts w:hint="eastAsia" w:ascii="仿宋" w:hAnsi="仿宋" w:eastAsia="仿宋"/>
          <w:color w:val="000000"/>
          <w:sz w:val="32"/>
          <w:szCs w:val="32"/>
        </w:rPr>
        <w:t>，</w:t>
      </w:r>
      <w:r>
        <w:rPr>
          <w:rFonts w:hint="eastAsia" w:ascii="仿宋" w:hAnsi="仿宋" w:eastAsia="仿宋"/>
          <w:color w:val="000000"/>
          <w:sz w:val="32"/>
          <w:szCs w:val="32"/>
          <w:lang w:eastAsia="zh-CN"/>
        </w:rPr>
        <w:t>减少</w:t>
      </w:r>
      <w:r>
        <w:rPr>
          <w:rFonts w:hint="eastAsia" w:ascii="仿宋" w:hAnsi="仿宋" w:eastAsia="仿宋"/>
          <w:color w:val="000000"/>
          <w:sz w:val="32"/>
          <w:szCs w:val="32"/>
          <w:lang w:val="en-US" w:eastAsia="zh-CN"/>
        </w:rPr>
        <w:t>1.89</w:t>
      </w:r>
      <w:r>
        <w:rPr>
          <w:rFonts w:ascii="仿宋" w:hAnsi="仿宋" w:eastAsia="仿宋"/>
          <w:color w:val="000000"/>
          <w:sz w:val="32"/>
          <w:szCs w:val="32"/>
        </w:rPr>
        <w:t>%</w:t>
      </w:r>
      <w:r>
        <w:rPr>
          <w:rFonts w:hint="eastAsia" w:ascii="仿宋" w:hAnsi="仿宋" w:eastAsia="仿宋"/>
          <w:color w:val="000000"/>
          <w:sz w:val="32"/>
          <w:szCs w:val="32"/>
        </w:rPr>
        <w:t>。主要变动原因是</w:t>
      </w:r>
      <w:r>
        <w:rPr>
          <w:rFonts w:hint="eastAsia" w:ascii="仿宋" w:hAnsi="仿宋" w:eastAsia="仿宋"/>
          <w:color w:val="000000"/>
          <w:sz w:val="32"/>
          <w:szCs w:val="32"/>
          <w:lang w:eastAsia="zh-CN"/>
        </w:rPr>
        <w:t>学院二期改扩建工程</w:t>
      </w:r>
      <w:r>
        <w:rPr>
          <w:rFonts w:hint="eastAsia" w:ascii="仿宋" w:hAnsi="仿宋" w:eastAsia="仿宋"/>
          <w:color w:val="000000"/>
          <w:sz w:val="32"/>
          <w:szCs w:val="32"/>
          <w:lang w:val="en-US" w:eastAsia="zh-CN"/>
        </w:rPr>
        <w:t>2021年支出略有减少</w:t>
      </w:r>
      <w:r>
        <w:rPr>
          <w:rFonts w:hint="eastAsia" w:ascii="仿宋" w:hAnsi="仿宋" w:eastAsia="仿宋"/>
          <w:color w:val="000000"/>
          <w:sz w:val="32"/>
          <w:szCs w:val="32"/>
          <w:lang w:eastAsia="zh-CN"/>
        </w:rPr>
        <w:t>。</w:t>
      </w:r>
    </w:p>
    <w:p>
      <w:pPr>
        <w:spacing w:line="600" w:lineRule="exact"/>
        <w:ind w:firstLine="640" w:firstLineChars="200"/>
        <w:rPr>
          <w:rFonts w:ascii="仿宋" w:hAnsi="仿宋" w:eastAsia="仿宋"/>
          <w:color w:val="000000" w:themeColor="text1"/>
          <w:sz w:val="32"/>
          <w:szCs w:val="32"/>
          <w14:textFill>
            <w14:solidFill>
              <w14:schemeClr w14:val="tx1"/>
            </w14:solidFill>
          </w14:textFill>
        </w:rPr>
      </w:pPr>
      <w:r>
        <w:rPr>
          <w:rFonts w:hint="eastAsia" w:ascii="仿宋" w:hAnsi="仿宋" w:eastAsia="仿宋"/>
          <w:color w:val="000000" w:themeColor="text1"/>
          <w:sz w:val="32"/>
          <w:szCs w:val="32"/>
          <w14:textFill>
            <w14:solidFill>
              <w14:schemeClr w14:val="tx1"/>
            </w14:solidFill>
          </w14:textFill>
        </w:rPr>
        <w:t>（图</w:t>
      </w:r>
      <w:r>
        <w:rPr>
          <w:rFonts w:ascii="仿宋" w:hAnsi="仿宋" w:eastAsia="仿宋"/>
          <w:color w:val="000000" w:themeColor="text1"/>
          <w:sz w:val="32"/>
          <w:szCs w:val="32"/>
          <w14:textFill>
            <w14:solidFill>
              <w14:schemeClr w14:val="tx1"/>
            </w14:solidFill>
          </w14:textFill>
        </w:rPr>
        <w:t>1</w:t>
      </w:r>
      <w:r>
        <w:rPr>
          <w:rFonts w:hint="eastAsia" w:ascii="仿宋" w:hAnsi="仿宋" w:eastAsia="仿宋"/>
          <w:color w:val="000000" w:themeColor="text1"/>
          <w:sz w:val="32"/>
          <w:szCs w:val="32"/>
          <w14:textFill>
            <w14:solidFill>
              <w14:schemeClr w14:val="tx1"/>
            </w14:solidFill>
          </w14:textFill>
        </w:rPr>
        <w:t>：收、支决算总计变动情况图）（柱状图）</w:t>
      </w:r>
    </w:p>
    <w:p>
      <w:pPr>
        <w:spacing w:line="600" w:lineRule="exact"/>
        <w:jc w:val="left"/>
        <w:rPr>
          <w:rFonts w:ascii="仿宋_GB2312" w:eastAsia="仿宋_GB2312"/>
          <w:color w:val="000000"/>
          <w:sz w:val="32"/>
          <w:szCs w:val="32"/>
        </w:rPr>
      </w:pPr>
    </w:p>
    <w:p>
      <w:pPr>
        <w:spacing w:line="600" w:lineRule="exact"/>
        <w:ind w:firstLine="640" w:firstLineChars="200"/>
        <w:jc w:val="left"/>
        <w:rPr>
          <w:rFonts w:ascii="仿宋_GB2312" w:eastAsia="仿宋_GB2312"/>
          <w:color w:val="000000"/>
          <w:sz w:val="32"/>
          <w:szCs w:val="32"/>
        </w:rPr>
      </w:pPr>
    </w:p>
    <w:p>
      <w:pPr>
        <w:spacing w:line="600" w:lineRule="exact"/>
        <w:ind w:firstLine="640" w:firstLineChars="200"/>
        <w:jc w:val="left"/>
        <w:rPr>
          <w:rFonts w:ascii="仿宋_GB2312" w:eastAsia="仿宋_GB2312"/>
          <w:color w:val="000000"/>
          <w:sz w:val="32"/>
          <w:szCs w:val="32"/>
        </w:rPr>
      </w:pPr>
    </w:p>
    <w:p>
      <w:pPr>
        <w:spacing w:line="600" w:lineRule="exact"/>
        <w:jc w:val="left"/>
        <w:rPr>
          <w:rFonts w:ascii="仿宋_GB2312" w:eastAsia="仿宋_GB2312"/>
          <w:color w:val="000000"/>
          <w:sz w:val="32"/>
          <w:szCs w:val="32"/>
        </w:rPr>
      </w:pPr>
    </w:p>
    <w:p>
      <w:pPr>
        <w:spacing w:line="600" w:lineRule="exact"/>
        <w:ind w:firstLine="640" w:firstLineChars="200"/>
        <w:jc w:val="left"/>
        <w:rPr>
          <w:rFonts w:ascii="仿宋_GB2312" w:eastAsia="仿宋_GB2312"/>
          <w:color w:val="000000"/>
          <w:sz w:val="32"/>
          <w:szCs w:val="32"/>
        </w:rPr>
      </w:pPr>
    </w:p>
    <w:p>
      <w:pPr>
        <w:spacing w:line="600" w:lineRule="exact"/>
        <w:ind w:firstLine="640" w:firstLineChars="200"/>
        <w:jc w:val="left"/>
        <w:rPr>
          <w:rFonts w:ascii="仿宋_GB2312" w:eastAsia="仿宋_GB2312"/>
          <w:color w:val="000000"/>
          <w:sz w:val="32"/>
          <w:szCs w:val="32"/>
        </w:rPr>
      </w:pPr>
    </w:p>
    <w:p>
      <w:pPr>
        <w:spacing w:line="600" w:lineRule="exact"/>
        <w:ind w:firstLine="640" w:firstLineChars="200"/>
        <w:jc w:val="left"/>
        <w:rPr>
          <w:rFonts w:ascii="仿宋_GB2312" w:eastAsia="仿宋_GB2312"/>
          <w:color w:val="000000"/>
          <w:sz w:val="32"/>
          <w:szCs w:val="32"/>
        </w:rPr>
      </w:pPr>
    </w:p>
    <w:p>
      <w:pPr>
        <w:spacing w:line="600" w:lineRule="exact"/>
        <w:ind w:firstLine="640" w:firstLineChars="200"/>
        <w:jc w:val="left"/>
        <w:rPr>
          <w:rFonts w:ascii="仿宋_GB2312" w:eastAsia="仿宋_GB2312"/>
          <w:color w:val="000000"/>
          <w:sz w:val="32"/>
          <w:szCs w:val="32"/>
        </w:rPr>
      </w:pPr>
    </w:p>
    <w:p>
      <w:pPr>
        <w:pStyle w:val="24"/>
        <w:numPr>
          <w:ilvl w:val="0"/>
          <w:numId w:val="0"/>
        </w:numPr>
        <w:spacing w:line="600" w:lineRule="exact"/>
        <w:ind w:left="640" w:leftChars="0"/>
        <w:outlineLvl w:val="1"/>
        <w:rPr>
          <w:rStyle w:val="26"/>
          <w:rFonts w:ascii="黑体" w:hAnsi="黑体" w:eastAsia="黑体"/>
          <w:b w:val="0"/>
        </w:rPr>
      </w:pPr>
      <w:bookmarkStart w:id="91" w:name="_Toc15377206"/>
      <w:bookmarkStart w:id="92" w:name="_Toc15396604"/>
    </w:p>
    <w:p>
      <w:pPr>
        <w:pStyle w:val="24"/>
        <w:numPr>
          <w:ilvl w:val="0"/>
          <w:numId w:val="1"/>
        </w:numPr>
        <w:spacing w:line="600" w:lineRule="exact"/>
        <w:ind w:firstLineChars="0"/>
        <w:outlineLvl w:val="1"/>
        <w:rPr>
          <w:rStyle w:val="26"/>
          <w:rFonts w:ascii="黑体" w:hAnsi="黑体" w:eastAsia="黑体"/>
          <w:b w:val="0"/>
        </w:rPr>
      </w:pPr>
      <w:bookmarkStart w:id="93" w:name="_Toc718182856_WPSOffice_Level2"/>
      <w:r>
        <w:rPr>
          <w:rFonts w:hint="eastAsia" w:ascii="黑体" w:hAnsi="黑体" w:eastAsia="黑体"/>
          <w:color w:val="000000"/>
          <w:sz w:val="32"/>
          <w:szCs w:val="32"/>
        </w:rPr>
        <w:t>收</w:t>
      </w:r>
      <w:r>
        <w:rPr>
          <w:rStyle w:val="26"/>
          <w:rFonts w:hint="eastAsia" w:ascii="黑体" w:hAnsi="黑体" w:eastAsia="黑体"/>
          <w:b w:val="0"/>
        </w:rPr>
        <w:t>入决算情况说明</w:t>
      </w:r>
      <w:bookmarkEnd w:id="91"/>
      <w:bookmarkEnd w:id="92"/>
      <w:bookmarkEnd w:id="93"/>
    </w:p>
    <w:p>
      <w:pPr>
        <w:spacing w:line="600" w:lineRule="exact"/>
        <w:ind w:firstLine="640" w:firstLineChars="200"/>
        <w:outlineLvl w:val="9"/>
        <w:rPr>
          <w:rFonts w:hint="default" w:ascii="仿宋" w:hAnsi="仿宋" w:eastAsia="仿宋"/>
          <w:color w:val="000000"/>
          <w:sz w:val="32"/>
          <w:szCs w:val="32"/>
          <w:lang w:val="en-US" w:eastAsia="zh-CN"/>
        </w:rPr>
      </w:pPr>
      <w:r>
        <w:rPr>
          <w:rFonts w:ascii="仿宋" w:hAnsi="仿宋" w:eastAsia="仿宋"/>
          <w:color w:val="000000"/>
          <w:sz w:val="32"/>
          <w:szCs w:val="32"/>
        </w:rPr>
        <w:t>20</w:t>
      </w:r>
      <w:r>
        <w:rPr>
          <w:rFonts w:hint="eastAsia" w:ascii="仿宋" w:hAnsi="仿宋" w:eastAsia="仿宋"/>
          <w:color w:val="000000"/>
          <w:sz w:val="32"/>
          <w:szCs w:val="32"/>
        </w:rPr>
        <w:t>2</w:t>
      </w:r>
      <w:r>
        <w:rPr>
          <w:rFonts w:hint="eastAsia" w:ascii="仿宋" w:hAnsi="仿宋" w:eastAsia="仿宋"/>
          <w:color w:val="000000"/>
          <w:sz w:val="32"/>
          <w:szCs w:val="32"/>
          <w:lang w:val="en-US" w:eastAsia="zh-CN"/>
        </w:rPr>
        <w:t>1</w:t>
      </w:r>
      <w:r>
        <w:rPr>
          <w:rFonts w:hint="eastAsia" w:ascii="仿宋" w:hAnsi="仿宋" w:eastAsia="仿宋"/>
          <w:color w:val="000000"/>
          <w:sz w:val="32"/>
          <w:szCs w:val="32"/>
        </w:rPr>
        <w:t>年本年收入合计</w:t>
      </w:r>
      <w:r>
        <w:rPr>
          <w:rFonts w:hint="eastAsia" w:ascii="仿宋" w:hAnsi="仿宋" w:eastAsia="仿宋"/>
          <w:color w:val="000000"/>
          <w:sz w:val="32"/>
          <w:szCs w:val="32"/>
          <w:lang w:val="en-US" w:eastAsia="zh-CN"/>
        </w:rPr>
        <w:t>14316.53</w:t>
      </w:r>
      <w:r>
        <w:rPr>
          <w:rFonts w:hint="eastAsia" w:ascii="仿宋" w:hAnsi="仿宋" w:eastAsia="仿宋"/>
          <w:color w:val="000000"/>
          <w:sz w:val="32"/>
          <w:szCs w:val="32"/>
        </w:rPr>
        <w:t>万元，其中：一般公共预算财政拨款收入</w:t>
      </w:r>
      <w:r>
        <w:rPr>
          <w:rFonts w:hint="eastAsia" w:ascii="仿宋" w:hAnsi="仿宋" w:eastAsia="仿宋"/>
          <w:color w:val="000000"/>
          <w:sz w:val="32"/>
          <w:szCs w:val="32"/>
          <w:lang w:val="en-US" w:eastAsia="zh-CN"/>
        </w:rPr>
        <w:t>4179.91</w:t>
      </w:r>
      <w:r>
        <w:rPr>
          <w:rFonts w:hint="eastAsia" w:ascii="仿宋" w:hAnsi="仿宋" w:eastAsia="仿宋"/>
          <w:color w:val="000000"/>
          <w:sz w:val="32"/>
          <w:szCs w:val="32"/>
        </w:rPr>
        <w:t>万元，占</w:t>
      </w:r>
      <w:r>
        <w:rPr>
          <w:rFonts w:hint="eastAsia" w:ascii="仿宋" w:hAnsi="仿宋" w:eastAsia="仿宋"/>
          <w:color w:val="000000"/>
          <w:sz w:val="32"/>
          <w:szCs w:val="32"/>
          <w:lang w:val="en-US" w:eastAsia="zh-CN"/>
        </w:rPr>
        <w:t>29.2</w:t>
      </w:r>
      <w:r>
        <w:rPr>
          <w:rFonts w:ascii="仿宋" w:hAnsi="仿宋" w:eastAsia="仿宋"/>
          <w:color w:val="000000"/>
          <w:sz w:val="32"/>
          <w:szCs w:val="32"/>
        </w:rPr>
        <w:t>%</w:t>
      </w:r>
      <w:r>
        <w:rPr>
          <w:rFonts w:hint="eastAsia" w:ascii="仿宋" w:hAnsi="仿宋" w:eastAsia="仿宋"/>
          <w:color w:val="000000"/>
          <w:sz w:val="32"/>
          <w:szCs w:val="32"/>
          <w:lang w:eastAsia="zh-CN"/>
        </w:rPr>
        <w:t>；政府性基金预算财政拨款2098.74万元，占</w:t>
      </w:r>
      <w:r>
        <w:rPr>
          <w:rFonts w:hint="eastAsia" w:ascii="仿宋" w:hAnsi="仿宋" w:eastAsia="仿宋"/>
          <w:color w:val="000000"/>
          <w:sz w:val="32"/>
          <w:szCs w:val="32"/>
          <w:lang w:val="en-US" w:eastAsia="zh-CN"/>
        </w:rPr>
        <w:t>14.66%</w:t>
      </w:r>
      <w:r>
        <w:rPr>
          <w:rFonts w:hint="eastAsia" w:ascii="仿宋" w:hAnsi="仿宋" w:eastAsia="仿宋"/>
          <w:color w:val="000000"/>
          <w:sz w:val="32"/>
          <w:szCs w:val="32"/>
          <w:lang w:eastAsia="zh-CN"/>
        </w:rPr>
        <w:t>；年初财政拨款结转和结余8037.86万元，</w:t>
      </w:r>
      <w:r>
        <w:rPr>
          <w:rFonts w:hint="eastAsia" w:ascii="仿宋" w:hAnsi="仿宋" w:eastAsia="仿宋"/>
          <w:color w:val="000000"/>
          <w:sz w:val="32"/>
          <w:szCs w:val="32"/>
        </w:rPr>
        <w:t>占</w:t>
      </w:r>
      <w:r>
        <w:rPr>
          <w:rFonts w:hint="eastAsia" w:ascii="仿宋" w:hAnsi="仿宋" w:eastAsia="仿宋"/>
          <w:color w:val="000000"/>
          <w:sz w:val="32"/>
          <w:szCs w:val="32"/>
          <w:lang w:val="en-US" w:eastAsia="zh-CN"/>
        </w:rPr>
        <w:t>56.14%。</w:t>
      </w:r>
    </w:p>
    <w:p>
      <w:pPr>
        <w:spacing w:line="600" w:lineRule="exact"/>
        <w:ind w:firstLine="640" w:firstLineChars="200"/>
        <w:rPr>
          <w:rFonts w:ascii="仿宋" w:hAnsi="仿宋" w:eastAsia="仿宋"/>
          <w:color w:val="000000" w:themeColor="text1"/>
          <w:sz w:val="32"/>
          <w:szCs w:val="32"/>
          <w14:textFill>
            <w14:solidFill>
              <w14:schemeClr w14:val="tx1"/>
            </w14:solidFill>
          </w14:textFill>
        </w:rPr>
      </w:pPr>
      <w:r>
        <w:rPr>
          <w:rFonts w:hint="eastAsia" w:ascii="仿宋" w:hAnsi="仿宋" w:eastAsia="仿宋"/>
          <w:color w:val="000000" w:themeColor="text1"/>
          <w:sz w:val="32"/>
          <w:szCs w:val="32"/>
          <w14:textFill>
            <w14:solidFill>
              <w14:schemeClr w14:val="tx1"/>
            </w14:solidFill>
          </w14:textFill>
        </w:rPr>
        <w:t>（图2：收入决算结构图）（饼状图）</w:t>
      </w:r>
    </w:p>
    <w:p>
      <w:pPr>
        <w:spacing w:line="600" w:lineRule="exact"/>
        <w:ind w:firstLine="420" w:firstLineChars="200"/>
        <w:rPr>
          <w:rFonts w:ascii="仿宋_GB2312" w:eastAsia="仿宋_GB2312"/>
          <w:color w:val="FF0000"/>
          <w:sz w:val="32"/>
          <w:szCs w:val="32"/>
        </w:rPr>
      </w:pPr>
      <w:r>
        <w:drawing>
          <wp:anchor distT="0" distB="0" distL="114300" distR="114300" simplePos="0" relativeHeight="251667456" behindDoc="0" locked="0" layoutInCell="1" allowOverlap="1">
            <wp:simplePos x="0" y="0"/>
            <wp:positionH relativeFrom="column">
              <wp:posOffset>-62230</wp:posOffset>
            </wp:positionH>
            <wp:positionV relativeFrom="paragraph">
              <wp:posOffset>175895</wp:posOffset>
            </wp:positionV>
            <wp:extent cx="4572000" cy="2743200"/>
            <wp:effectExtent l="4445" t="4445" r="14605" b="14605"/>
            <wp:wrapSquare wrapText="bothSides"/>
            <wp:docPr id="1" name="图表 3"/>
            <wp:cNvGraphicFramePr/>
            <a:graphic xmlns:a="http://schemas.openxmlformats.org/drawingml/2006/main">
              <a:graphicData uri="http://schemas.openxmlformats.org/drawingml/2006/chart">
                <c:chart xmlns:c="http://schemas.openxmlformats.org/drawingml/2006/chart" xmlns:r="http://schemas.openxmlformats.org/officeDocument/2006/relationships" r:id="rId7"/>
              </a:graphicData>
            </a:graphic>
          </wp:anchor>
        </w:drawing>
      </w:r>
    </w:p>
    <w:p>
      <w:pPr>
        <w:spacing w:line="600" w:lineRule="exact"/>
        <w:ind w:firstLine="640" w:firstLineChars="200"/>
        <w:rPr>
          <w:rFonts w:ascii="仿宋_GB2312" w:eastAsia="仿宋_GB2312"/>
          <w:color w:val="FF0000"/>
          <w:sz w:val="32"/>
          <w:szCs w:val="32"/>
        </w:rPr>
      </w:pPr>
    </w:p>
    <w:p>
      <w:pPr>
        <w:spacing w:line="600" w:lineRule="exact"/>
        <w:ind w:firstLine="640" w:firstLineChars="200"/>
        <w:rPr>
          <w:rFonts w:ascii="仿宋_GB2312" w:eastAsia="仿宋_GB2312"/>
          <w:color w:val="FF0000"/>
          <w:sz w:val="32"/>
          <w:szCs w:val="32"/>
        </w:rPr>
      </w:pPr>
    </w:p>
    <w:p>
      <w:pPr>
        <w:spacing w:line="600" w:lineRule="exact"/>
        <w:ind w:firstLine="640" w:firstLineChars="200"/>
        <w:rPr>
          <w:rFonts w:ascii="仿宋_GB2312" w:eastAsia="仿宋_GB2312"/>
          <w:color w:val="FF0000"/>
          <w:sz w:val="32"/>
          <w:szCs w:val="32"/>
        </w:rPr>
      </w:pPr>
    </w:p>
    <w:p>
      <w:pPr>
        <w:spacing w:line="600" w:lineRule="exact"/>
        <w:ind w:firstLine="640" w:firstLineChars="200"/>
        <w:rPr>
          <w:rFonts w:ascii="仿宋_GB2312" w:eastAsia="仿宋_GB2312"/>
          <w:color w:val="FF0000"/>
          <w:sz w:val="32"/>
          <w:szCs w:val="32"/>
        </w:rPr>
      </w:pPr>
    </w:p>
    <w:p>
      <w:pPr>
        <w:spacing w:line="600" w:lineRule="exact"/>
        <w:ind w:firstLine="640" w:firstLineChars="200"/>
        <w:rPr>
          <w:rFonts w:ascii="仿宋_GB2312" w:eastAsia="仿宋_GB2312"/>
          <w:color w:val="FF0000"/>
          <w:sz w:val="32"/>
          <w:szCs w:val="32"/>
        </w:rPr>
      </w:pPr>
    </w:p>
    <w:p>
      <w:pPr>
        <w:spacing w:line="600" w:lineRule="exact"/>
        <w:ind w:firstLine="640" w:firstLineChars="200"/>
        <w:rPr>
          <w:rFonts w:ascii="仿宋_GB2312" w:eastAsia="仿宋_GB2312"/>
          <w:color w:val="FF0000"/>
          <w:sz w:val="32"/>
          <w:szCs w:val="32"/>
        </w:rPr>
      </w:pPr>
    </w:p>
    <w:p>
      <w:pPr>
        <w:spacing w:line="600" w:lineRule="exact"/>
        <w:ind w:firstLine="640" w:firstLineChars="200"/>
        <w:rPr>
          <w:rFonts w:ascii="仿宋_GB2312" w:eastAsia="仿宋_GB2312"/>
          <w:color w:val="FF0000"/>
          <w:sz w:val="32"/>
          <w:szCs w:val="32"/>
        </w:rPr>
      </w:pPr>
    </w:p>
    <w:p>
      <w:pPr>
        <w:spacing w:line="600" w:lineRule="exact"/>
        <w:ind w:firstLine="640" w:firstLineChars="200"/>
        <w:rPr>
          <w:rFonts w:ascii="仿宋_GB2312" w:eastAsia="仿宋_GB2312"/>
          <w:color w:val="FF0000"/>
          <w:sz w:val="32"/>
          <w:szCs w:val="32"/>
        </w:rPr>
      </w:pPr>
    </w:p>
    <w:p>
      <w:pPr>
        <w:spacing w:line="600" w:lineRule="exact"/>
        <w:ind w:firstLine="640" w:firstLineChars="200"/>
        <w:rPr>
          <w:rFonts w:ascii="仿宋_GB2312" w:eastAsia="仿宋_GB2312"/>
          <w:color w:val="FF0000"/>
          <w:sz w:val="32"/>
          <w:szCs w:val="32"/>
        </w:rPr>
      </w:pPr>
    </w:p>
    <w:p>
      <w:pPr>
        <w:pStyle w:val="24"/>
        <w:numPr>
          <w:ilvl w:val="0"/>
          <w:numId w:val="1"/>
        </w:numPr>
        <w:spacing w:line="600" w:lineRule="exact"/>
        <w:ind w:firstLineChars="0"/>
        <w:outlineLvl w:val="1"/>
        <w:rPr>
          <w:rStyle w:val="26"/>
          <w:rFonts w:ascii="黑体" w:hAnsi="黑体" w:eastAsia="黑体"/>
          <w:b w:val="0"/>
        </w:rPr>
      </w:pPr>
      <w:bookmarkStart w:id="94" w:name="_Toc15377207"/>
      <w:bookmarkStart w:id="95" w:name="_Toc15396605"/>
      <w:bookmarkStart w:id="96" w:name="_Toc1763674126_WPSOffice_Level2"/>
      <w:r>
        <w:rPr>
          <w:rFonts w:hint="eastAsia" w:ascii="黑体" w:hAnsi="黑体" w:eastAsia="黑体"/>
          <w:color w:val="000000"/>
          <w:sz w:val="32"/>
          <w:szCs w:val="32"/>
        </w:rPr>
        <w:t>支</w:t>
      </w:r>
      <w:r>
        <w:rPr>
          <w:rStyle w:val="26"/>
          <w:rFonts w:hint="eastAsia" w:ascii="黑体" w:hAnsi="黑体" w:eastAsia="黑体"/>
          <w:b w:val="0"/>
        </w:rPr>
        <w:t>出决算情况说明</w:t>
      </w:r>
      <w:bookmarkEnd w:id="94"/>
      <w:bookmarkEnd w:id="95"/>
      <w:bookmarkEnd w:id="96"/>
    </w:p>
    <w:p>
      <w:pPr>
        <w:spacing w:line="600" w:lineRule="exact"/>
        <w:ind w:firstLine="640" w:firstLineChars="200"/>
        <w:outlineLvl w:val="9"/>
        <w:rPr>
          <w:rFonts w:hint="default" w:ascii="仿宋" w:hAnsi="仿宋" w:eastAsia="仿宋"/>
          <w:color w:val="000000"/>
          <w:sz w:val="32"/>
          <w:szCs w:val="32"/>
          <w:lang w:val="en-US" w:eastAsia="zh-CN"/>
        </w:rPr>
      </w:pPr>
      <w:r>
        <w:rPr>
          <w:rFonts w:ascii="仿宋" w:hAnsi="仿宋" w:eastAsia="仿宋"/>
          <w:color w:val="000000"/>
          <w:sz w:val="32"/>
          <w:szCs w:val="32"/>
        </w:rPr>
        <w:t>20</w:t>
      </w:r>
      <w:r>
        <w:rPr>
          <w:rFonts w:hint="eastAsia" w:ascii="仿宋" w:hAnsi="仿宋" w:eastAsia="仿宋"/>
          <w:color w:val="000000"/>
          <w:sz w:val="32"/>
          <w:szCs w:val="32"/>
        </w:rPr>
        <w:t>2</w:t>
      </w:r>
      <w:r>
        <w:rPr>
          <w:rFonts w:hint="eastAsia" w:ascii="仿宋" w:hAnsi="仿宋" w:eastAsia="仿宋"/>
          <w:color w:val="000000"/>
          <w:sz w:val="32"/>
          <w:szCs w:val="32"/>
          <w:lang w:val="en-US" w:eastAsia="zh-CN"/>
        </w:rPr>
        <w:t>1</w:t>
      </w:r>
      <w:r>
        <w:rPr>
          <w:rFonts w:hint="eastAsia" w:ascii="仿宋" w:hAnsi="仿宋" w:eastAsia="仿宋"/>
          <w:color w:val="000000"/>
          <w:sz w:val="32"/>
          <w:szCs w:val="32"/>
        </w:rPr>
        <w:t>年本年支出合计</w:t>
      </w:r>
      <w:r>
        <w:rPr>
          <w:rFonts w:hint="eastAsia" w:ascii="仿宋" w:hAnsi="仿宋" w:eastAsia="仿宋"/>
          <w:color w:val="000000"/>
          <w:sz w:val="32"/>
          <w:szCs w:val="32"/>
          <w:lang w:val="en-US" w:eastAsia="zh-CN"/>
        </w:rPr>
        <w:t>14316.53</w:t>
      </w:r>
      <w:r>
        <w:rPr>
          <w:rFonts w:hint="eastAsia" w:ascii="仿宋" w:hAnsi="仿宋" w:eastAsia="仿宋"/>
          <w:color w:val="000000"/>
          <w:sz w:val="32"/>
          <w:szCs w:val="32"/>
        </w:rPr>
        <w:t>万元，其中：基本支出</w:t>
      </w:r>
      <w:r>
        <w:rPr>
          <w:rFonts w:hint="eastAsia" w:ascii="仿宋" w:hAnsi="仿宋" w:eastAsia="仿宋"/>
          <w:color w:val="000000"/>
          <w:sz w:val="32"/>
          <w:szCs w:val="32"/>
          <w:lang w:val="en-US" w:eastAsia="zh-CN"/>
        </w:rPr>
        <w:t>4215.25</w:t>
      </w:r>
      <w:r>
        <w:rPr>
          <w:rFonts w:hint="eastAsia" w:ascii="仿宋" w:hAnsi="仿宋" w:eastAsia="仿宋"/>
          <w:color w:val="000000"/>
          <w:sz w:val="32"/>
          <w:szCs w:val="32"/>
        </w:rPr>
        <w:t>万元，占</w:t>
      </w:r>
      <w:r>
        <w:rPr>
          <w:rFonts w:hint="eastAsia" w:ascii="仿宋" w:hAnsi="仿宋" w:eastAsia="仿宋"/>
          <w:color w:val="000000"/>
          <w:sz w:val="32"/>
          <w:szCs w:val="32"/>
          <w:lang w:val="en-US" w:eastAsia="zh-CN"/>
        </w:rPr>
        <w:t>29.44</w:t>
      </w:r>
      <w:r>
        <w:rPr>
          <w:rFonts w:ascii="仿宋" w:hAnsi="仿宋" w:eastAsia="仿宋"/>
          <w:color w:val="000000"/>
          <w:sz w:val="32"/>
          <w:szCs w:val="32"/>
        </w:rPr>
        <w:t>%</w:t>
      </w:r>
      <w:r>
        <w:rPr>
          <w:rFonts w:hint="eastAsia" w:ascii="仿宋" w:hAnsi="仿宋" w:eastAsia="仿宋"/>
          <w:color w:val="000000"/>
          <w:sz w:val="32"/>
          <w:szCs w:val="32"/>
          <w:lang w:eastAsia="zh-CN"/>
        </w:rPr>
        <w:t>；项目支出10101.27万元，占</w:t>
      </w:r>
      <w:r>
        <w:rPr>
          <w:rFonts w:hint="eastAsia" w:ascii="仿宋" w:hAnsi="仿宋" w:eastAsia="仿宋"/>
          <w:color w:val="000000"/>
          <w:sz w:val="32"/>
          <w:szCs w:val="32"/>
          <w:lang w:val="en-US" w:eastAsia="zh-CN"/>
        </w:rPr>
        <w:t>70.56%。</w:t>
      </w:r>
    </w:p>
    <w:p>
      <w:pPr>
        <w:spacing w:line="600" w:lineRule="exact"/>
        <w:ind w:firstLine="1600" w:firstLineChars="500"/>
        <w:rPr>
          <w:rFonts w:ascii="仿宋" w:hAnsi="仿宋" w:eastAsia="仿宋"/>
          <w:color w:val="000000" w:themeColor="text1"/>
          <w:sz w:val="32"/>
          <w:szCs w:val="32"/>
          <w14:textFill>
            <w14:solidFill>
              <w14:schemeClr w14:val="tx1"/>
            </w14:solidFill>
          </w14:textFill>
        </w:rPr>
      </w:pPr>
      <w:r>
        <w:rPr>
          <w:rFonts w:hint="eastAsia" w:ascii="仿宋" w:hAnsi="仿宋" w:eastAsia="仿宋"/>
          <w:color w:val="000000" w:themeColor="text1"/>
          <w:sz w:val="32"/>
          <w:szCs w:val="32"/>
          <w14:textFill>
            <w14:solidFill>
              <w14:schemeClr w14:val="tx1"/>
            </w14:solidFill>
          </w14:textFill>
        </w:rPr>
        <w:t>（图3：支出决算结构图）（饼状图）</w:t>
      </w:r>
    </w:p>
    <w:p>
      <w:pPr>
        <w:spacing w:line="600" w:lineRule="exact"/>
        <w:ind w:firstLine="640" w:firstLineChars="200"/>
        <w:rPr>
          <w:rFonts w:ascii="仿宋_GB2312" w:eastAsia="仿宋_GB2312"/>
          <w:color w:val="FF0000"/>
          <w:sz w:val="32"/>
          <w:szCs w:val="32"/>
        </w:rPr>
      </w:pPr>
    </w:p>
    <w:p>
      <w:pPr>
        <w:spacing w:line="600" w:lineRule="exact"/>
        <w:ind w:firstLine="640" w:firstLineChars="200"/>
        <w:rPr>
          <w:rFonts w:ascii="仿宋_GB2312" w:eastAsia="仿宋_GB2312"/>
          <w:color w:val="FF0000"/>
          <w:sz w:val="32"/>
          <w:szCs w:val="32"/>
        </w:rPr>
      </w:pPr>
    </w:p>
    <w:p>
      <w:pPr>
        <w:spacing w:line="600" w:lineRule="exact"/>
        <w:ind w:firstLine="640" w:firstLineChars="200"/>
        <w:rPr>
          <w:rFonts w:ascii="仿宋_GB2312" w:eastAsia="仿宋_GB2312"/>
          <w:color w:val="FF0000"/>
          <w:sz w:val="32"/>
          <w:szCs w:val="32"/>
        </w:rPr>
      </w:pPr>
    </w:p>
    <w:p>
      <w:pPr>
        <w:spacing w:line="600" w:lineRule="exact"/>
        <w:ind w:firstLine="640" w:firstLineChars="200"/>
        <w:rPr>
          <w:rFonts w:ascii="仿宋_GB2312" w:eastAsia="仿宋_GB2312"/>
          <w:color w:val="FF0000"/>
          <w:sz w:val="32"/>
          <w:szCs w:val="32"/>
        </w:rPr>
      </w:pPr>
    </w:p>
    <w:p>
      <w:pPr>
        <w:spacing w:line="600" w:lineRule="exact"/>
        <w:ind w:firstLine="640" w:firstLineChars="200"/>
        <w:rPr>
          <w:rFonts w:ascii="仿宋_GB2312" w:eastAsia="仿宋_GB2312"/>
          <w:color w:val="FF0000"/>
          <w:sz w:val="32"/>
          <w:szCs w:val="32"/>
        </w:rPr>
      </w:pPr>
    </w:p>
    <w:p>
      <w:pPr>
        <w:spacing w:line="600" w:lineRule="exact"/>
        <w:ind w:firstLine="420" w:firstLineChars="200"/>
        <w:rPr>
          <w:rFonts w:ascii="仿宋_GB2312" w:eastAsia="仿宋_GB2312"/>
          <w:color w:val="FF0000"/>
          <w:sz w:val="32"/>
          <w:szCs w:val="32"/>
        </w:rPr>
      </w:pPr>
      <w:r>
        <w:drawing>
          <wp:anchor distT="0" distB="0" distL="114300" distR="114300" simplePos="0" relativeHeight="251668480" behindDoc="0" locked="0" layoutInCell="1" allowOverlap="1">
            <wp:simplePos x="0" y="0"/>
            <wp:positionH relativeFrom="column">
              <wp:posOffset>233045</wp:posOffset>
            </wp:positionH>
            <wp:positionV relativeFrom="paragraph">
              <wp:posOffset>528320</wp:posOffset>
            </wp:positionV>
            <wp:extent cx="4933950" cy="3009900"/>
            <wp:effectExtent l="4445" t="4445" r="14605" b="14605"/>
            <wp:wrapSquare wrapText="bothSides"/>
            <wp:docPr id="5" name="图表 3"/>
            <wp:cNvGraphicFramePr/>
            <a:graphic xmlns:a="http://schemas.openxmlformats.org/drawingml/2006/main">
              <a:graphicData uri="http://schemas.openxmlformats.org/drawingml/2006/chart">
                <c:chart xmlns:c="http://schemas.openxmlformats.org/drawingml/2006/chart" xmlns:r="http://schemas.openxmlformats.org/officeDocument/2006/relationships" r:id="rId8"/>
              </a:graphicData>
            </a:graphic>
          </wp:anchor>
        </w:drawing>
      </w:r>
    </w:p>
    <w:p>
      <w:pPr>
        <w:spacing w:line="600" w:lineRule="exact"/>
        <w:ind w:firstLine="640" w:firstLineChars="200"/>
        <w:rPr>
          <w:rFonts w:ascii="仿宋_GB2312" w:eastAsia="仿宋_GB2312"/>
          <w:color w:val="FF0000"/>
          <w:sz w:val="32"/>
          <w:szCs w:val="32"/>
        </w:rPr>
      </w:pPr>
    </w:p>
    <w:p>
      <w:pPr>
        <w:spacing w:line="600" w:lineRule="exact"/>
        <w:rPr>
          <w:rFonts w:ascii="仿宋_GB2312" w:eastAsia="仿宋_GB2312"/>
          <w:color w:val="FF0000"/>
          <w:sz w:val="32"/>
          <w:szCs w:val="32"/>
        </w:rPr>
      </w:pPr>
    </w:p>
    <w:p>
      <w:pPr>
        <w:spacing w:line="600" w:lineRule="exact"/>
        <w:ind w:firstLine="640" w:firstLineChars="200"/>
        <w:rPr>
          <w:rFonts w:ascii="仿宋_GB2312" w:eastAsia="仿宋_GB2312"/>
          <w:color w:val="FF0000"/>
          <w:sz w:val="32"/>
          <w:szCs w:val="32"/>
        </w:rPr>
      </w:pPr>
    </w:p>
    <w:p>
      <w:pPr>
        <w:pStyle w:val="9"/>
        <w:rPr>
          <w:rFonts w:ascii="仿宋_GB2312" w:eastAsia="仿宋_GB2312"/>
          <w:color w:val="FF0000"/>
          <w:sz w:val="32"/>
          <w:szCs w:val="32"/>
        </w:rPr>
      </w:pPr>
    </w:p>
    <w:p>
      <w:pPr>
        <w:rPr>
          <w:rFonts w:ascii="仿宋_GB2312" w:eastAsia="仿宋_GB2312"/>
          <w:color w:val="FF0000"/>
          <w:sz w:val="32"/>
          <w:szCs w:val="32"/>
        </w:rPr>
      </w:pPr>
    </w:p>
    <w:p>
      <w:pPr>
        <w:pStyle w:val="9"/>
        <w:rPr>
          <w:rFonts w:ascii="仿宋_GB2312" w:eastAsia="仿宋_GB2312"/>
          <w:color w:val="FF0000"/>
          <w:sz w:val="32"/>
          <w:szCs w:val="32"/>
        </w:rPr>
      </w:pPr>
    </w:p>
    <w:p>
      <w:pPr>
        <w:rPr>
          <w:rFonts w:ascii="仿宋_GB2312" w:eastAsia="仿宋_GB2312"/>
          <w:color w:val="FF0000"/>
          <w:sz w:val="32"/>
          <w:szCs w:val="32"/>
        </w:rPr>
      </w:pPr>
    </w:p>
    <w:p>
      <w:pPr>
        <w:pStyle w:val="9"/>
        <w:rPr>
          <w:rFonts w:ascii="仿宋_GB2312" w:eastAsia="仿宋_GB2312"/>
          <w:color w:val="FF0000"/>
          <w:sz w:val="32"/>
          <w:szCs w:val="32"/>
        </w:rPr>
      </w:pPr>
    </w:p>
    <w:p>
      <w:pPr>
        <w:rPr>
          <w:rFonts w:ascii="仿宋_GB2312" w:eastAsia="仿宋_GB2312"/>
          <w:color w:val="FF0000"/>
          <w:sz w:val="32"/>
          <w:szCs w:val="32"/>
        </w:rPr>
      </w:pPr>
    </w:p>
    <w:p/>
    <w:p>
      <w:pPr>
        <w:spacing w:line="600" w:lineRule="exact"/>
        <w:ind w:firstLine="640" w:firstLineChars="200"/>
        <w:outlineLvl w:val="1"/>
        <w:rPr>
          <w:rStyle w:val="26"/>
          <w:rFonts w:ascii="黑体" w:hAnsi="黑体" w:eastAsia="黑体"/>
          <w:b w:val="0"/>
          <w:highlight w:val="none"/>
        </w:rPr>
      </w:pPr>
      <w:bookmarkStart w:id="97" w:name="_Toc455772242_WPSOffice_Level2"/>
      <w:bookmarkStart w:id="98" w:name="_Toc15396606"/>
      <w:bookmarkStart w:id="99" w:name="_Toc15377208"/>
      <w:r>
        <w:rPr>
          <w:rFonts w:hint="eastAsia" w:ascii="黑体" w:hAnsi="黑体" w:eastAsia="黑体"/>
          <w:color w:val="000000"/>
          <w:sz w:val="32"/>
          <w:szCs w:val="32"/>
          <w:highlight w:val="none"/>
        </w:rPr>
        <w:t>四、财</w:t>
      </w:r>
      <w:r>
        <w:rPr>
          <w:rStyle w:val="26"/>
          <w:rFonts w:hint="eastAsia" w:ascii="黑体" w:hAnsi="黑体" w:eastAsia="黑体"/>
          <w:b w:val="0"/>
          <w:highlight w:val="none"/>
        </w:rPr>
        <w:t>政拨款收入支出决算总体情况说明</w:t>
      </w:r>
      <w:bookmarkEnd w:id="97"/>
      <w:bookmarkEnd w:id="98"/>
      <w:bookmarkEnd w:id="99"/>
    </w:p>
    <w:p>
      <w:pPr>
        <w:spacing w:line="600" w:lineRule="exact"/>
        <w:ind w:firstLine="640"/>
        <w:rPr>
          <w:rFonts w:hint="eastAsia" w:ascii="仿宋" w:hAnsi="仿宋" w:eastAsia="仿宋"/>
          <w:color w:val="000000"/>
          <w:sz w:val="32"/>
          <w:szCs w:val="32"/>
          <w:lang w:eastAsia="zh-CN"/>
        </w:rPr>
      </w:pPr>
      <w:r>
        <w:rPr>
          <w:rFonts w:ascii="仿宋" w:hAnsi="仿宋" w:eastAsia="仿宋"/>
          <w:color w:val="000000"/>
          <w:sz w:val="32"/>
          <w:szCs w:val="32"/>
          <w:highlight w:val="none"/>
        </w:rPr>
        <w:t>20</w:t>
      </w:r>
      <w:r>
        <w:rPr>
          <w:rFonts w:hint="eastAsia" w:ascii="仿宋" w:hAnsi="仿宋" w:eastAsia="仿宋"/>
          <w:color w:val="000000"/>
          <w:sz w:val="32"/>
          <w:szCs w:val="32"/>
          <w:highlight w:val="none"/>
        </w:rPr>
        <w:t>2</w:t>
      </w:r>
      <w:r>
        <w:rPr>
          <w:rFonts w:hint="eastAsia" w:ascii="仿宋" w:hAnsi="仿宋" w:eastAsia="仿宋"/>
          <w:color w:val="000000"/>
          <w:sz w:val="32"/>
          <w:szCs w:val="32"/>
          <w:highlight w:val="none"/>
          <w:lang w:val="en-US" w:eastAsia="zh-CN"/>
        </w:rPr>
        <w:t>1</w:t>
      </w:r>
      <w:r>
        <w:rPr>
          <w:rFonts w:hint="eastAsia" w:ascii="仿宋" w:hAnsi="仿宋" w:eastAsia="仿宋"/>
          <w:color w:val="000000"/>
          <w:sz w:val="32"/>
          <w:szCs w:val="32"/>
          <w:highlight w:val="none"/>
        </w:rPr>
        <w:t>年财政拨款收</w:t>
      </w:r>
      <w:r>
        <w:rPr>
          <w:rFonts w:hint="eastAsia" w:ascii="仿宋" w:hAnsi="仿宋" w:eastAsia="仿宋"/>
          <w:color w:val="000000"/>
          <w:sz w:val="32"/>
          <w:szCs w:val="32"/>
          <w:highlight w:val="none"/>
          <w:lang w:eastAsia="zh-CN"/>
        </w:rPr>
        <w:t>入</w:t>
      </w:r>
      <w:r>
        <w:rPr>
          <w:rFonts w:hint="eastAsia" w:ascii="仿宋" w:hAnsi="仿宋" w:eastAsia="仿宋"/>
          <w:color w:val="000000"/>
          <w:sz w:val="32"/>
          <w:szCs w:val="32"/>
          <w:highlight w:val="none"/>
        </w:rPr>
        <w:t>总计</w:t>
      </w:r>
      <w:r>
        <w:rPr>
          <w:rFonts w:hint="eastAsia" w:ascii="仿宋" w:hAnsi="仿宋" w:eastAsia="仿宋"/>
          <w:color w:val="000000"/>
          <w:sz w:val="32"/>
          <w:szCs w:val="32"/>
          <w:lang w:val="en-US" w:eastAsia="zh-CN"/>
        </w:rPr>
        <w:t>14316.53</w:t>
      </w:r>
      <w:r>
        <w:rPr>
          <w:rFonts w:hint="eastAsia" w:ascii="仿宋" w:hAnsi="仿宋" w:eastAsia="仿宋"/>
          <w:color w:val="000000"/>
          <w:sz w:val="32"/>
          <w:szCs w:val="32"/>
          <w:highlight w:val="none"/>
          <w:lang w:eastAsia="zh-CN"/>
        </w:rPr>
        <w:t>万元，</w:t>
      </w:r>
      <w:r>
        <w:rPr>
          <w:rFonts w:hint="eastAsia" w:ascii="仿宋" w:hAnsi="仿宋" w:eastAsia="仿宋"/>
          <w:color w:val="000000"/>
          <w:sz w:val="32"/>
          <w:szCs w:val="32"/>
          <w:highlight w:val="none"/>
        </w:rPr>
        <w:t>财政拨款</w:t>
      </w:r>
      <w:r>
        <w:rPr>
          <w:rFonts w:hint="eastAsia" w:ascii="仿宋" w:hAnsi="仿宋" w:eastAsia="仿宋"/>
          <w:color w:val="000000"/>
          <w:sz w:val="32"/>
          <w:szCs w:val="32"/>
          <w:highlight w:val="none"/>
          <w:lang w:eastAsia="zh-CN"/>
        </w:rPr>
        <w:t>支出总计</w:t>
      </w:r>
      <w:r>
        <w:rPr>
          <w:rFonts w:hint="eastAsia" w:ascii="仿宋" w:hAnsi="仿宋" w:eastAsia="仿宋"/>
          <w:color w:val="000000"/>
          <w:sz w:val="32"/>
          <w:szCs w:val="32"/>
          <w:lang w:val="en-US" w:eastAsia="zh-CN"/>
        </w:rPr>
        <w:t>14316.53</w:t>
      </w:r>
      <w:r>
        <w:rPr>
          <w:rFonts w:hint="eastAsia" w:ascii="仿宋" w:hAnsi="仿宋" w:eastAsia="仿宋"/>
          <w:color w:val="000000"/>
          <w:sz w:val="32"/>
          <w:szCs w:val="32"/>
          <w:highlight w:val="none"/>
        </w:rPr>
        <w:t>万元。与20</w:t>
      </w:r>
      <w:r>
        <w:rPr>
          <w:rFonts w:hint="eastAsia" w:ascii="仿宋" w:hAnsi="仿宋" w:eastAsia="仿宋"/>
          <w:color w:val="000000"/>
          <w:sz w:val="32"/>
          <w:szCs w:val="32"/>
          <w:highlight w:val="none"/>
          <w:lang w:val="en-US" w:eastAsia="zh-CN"/>
        </w:rPr>
        <w:t>20</w:t>
      </w:r>
      <w:r>
        <w:rPr>
          <w:rFonts w:hint="eastAsia" w:ascii="仿宋" w:hAnsi="仿宋" w:eastAsia="仿宋"/>
          <w:color w:val="000000"/>
          <w:sz w:val="32"/>
          <w:szCs w:val="32"/>
          <w:highlight w:val="none"/>
        </w:rPr>
        <w:t>年相比，财政拨款收</w:t>
      </w:r>
      <w:r>
        <w:rPr>
          <w:rFonts w:hint="eastAsia" w:ascii="仿宋" w:hAnsi="仿宋" w:eastAsia="仿宋"/>
          <w:color w:val="000000"/>
          <w:sz w:val="32"/>
          <w:szCs w:val="32"/>
          <w:highlight w:val="none"/>
          <w:lang w:eastAsia="zh-CN"/>
        </w:rPr>
        <w:t>入</w:t>
      </w:r>
      <w:r>
        <w:rPr>
          <w:rFonts w:hint="eastAsia" w:ascii="仿宋" w:hAnsi="仿宋" w:eastAsia="仿宋"/>
          <w:color w:val="000000"/>
          <w:sz w:val="32"/>
          <w:szCs w:val="32"/>
        </w:rPr>
        <w:t>总计</w:t>
      </w:r>
      <w:r>
        <w:rPr>
          <w:rFonts w:hint="eastAsia" w:ascii="仿宋" w:hAnsi="仿宋" w:eastAsia="仿宋"/>
          <w:color w:val="000000"/>
          <w:sz w:val="32"/>
          <w:szCs w:val="32"/>
          <w:lang w:eastAsia="zh-CN"/>
        </w:rPr>
        <w:t>减少</w:t>
      </w:r>
      <w:r>
        <w:rPr>
          <w:rFonts w:hint="eastAsia" w:ascii="仿宋" w:hAnsi="仿宋" w:eastAsia="仿宋"/>
          <w:color w:val="000000"/>
          <w:sz w:val="32"/>
          <w:szCs w:val="32"/>
          <w:lang w:val="en-US" w:eastAsia="zh-CN"/>
        </w:rPr>
        <w:t>276.44</w:t>
      </w:r>
      <w:r>
        <w:rPr>
          <w:rFonts w:hint="eastAsia" w:ascii="仿宋" w:hAnsi="仿宋" w:eastAsia="仿宋"/>
          <w:color w:val="000000"/>
          <w:sz w:val="32"/>
          <w:szCs w:val="32"/>
          <w:lang w:eastAsia="zh-CN"/>
        </w:rPr>
        <w:t>万元</w:t>
      </w:r>
      <w:r>
        <w:rPr>
          <w:rFonts w:hint="eastAsia" w:ascii="仿宋" w:hAnsi="仿宋" w:eastAsia="仿宋"/>
          <w:color w:val="000000"/>
          <w:sz w:val="32"/>
          <w:szCs w:val="32"/>
        </w:rPr>
        <w:t>，</w:t>
      </w:r>
      <w:r>
        <w:rPr>
          <w:rFonts w:hint="eastAsia" w:ascii="仿宋" w:hAnsi="仿宋" w:eastAsia="仿宋"/>
          <w:color w:val="000000"/>
          <w:sz w:val="32"/>
          <w:szCs w:val="32"/>
          <w:lang w:eastAsia="zh-CN"/>
        </w:rPr>
        <w:t>减少</w:t>
      </w:r>
      <w:r>
        <w:rPr>
          <w:rFonts w:hint="eastAsia" w:ascii="仿宋" w:hAnsi="仿宋" w:eastAsia="仿宋"/>
          <w:color w:val="000000"/>
          <w:sz w:val="32"/>
          <w:szCs w:val="32"/>
          <w:lang w:val="en-US" w:eastAsia="zh-CN"/>
        </w:rPr>
        <w:t>1.89</w:t>
      </w:r>
      <w:r>
        <w:rPr>
          <w:rFonts w:ascii="仿宋" w:hAnsi="仿宋" w:eastAsia="仿宋"/>
          <w:color w:val="000000"/>
          <w:sz w:val="32"/>
          <w:szCs w:val="32"/>
        </w:rPr>
        <w:t>%</w:t>
      </w:r>
      <w:r>
        <w:rPr>
          <w:rFonts w:hint="eastAsia" w:ascii="仿宋" w:hAnsi="仿宋" w:eastAsia="仿宋"/>
          <w:color w:val="000000"/>
          <w:sz w:val="32"/>
          <w:szCs w:val="32"/>
          <w:highlight w:val="none"/>
          <w:lang w:eastAsia="zh-CN"/>
        </w:rPr>
        <w:t>，</w:t>
      </w:r>
      <w:r>
        <w:rPr>
          <w:rFonts w:hint="eastAsia" w:ascii="仿宋" w:hAnsi="仿宋" w:eastAsia="仿宋"/>
          <w:color w:val="000000"/>
          <w:sz w:val="32"/>
          <w:szCs w:val="32"/>
          <w:highlight w:val="none"/>
        </w:rPr>
        <w:t>财政拨款</w:t>
      </w:r>
      <w:r>
        <w:rPr>
          <w:rFonts w:hint="eastAsia" w:ascii="仿宋" w:hAnsi="仿宋" w:eastAsia="仿宋"/>
          <w:color w:val="000000"/>
          <w:sz w:val="32"/>
          <w:szCs w:val="32"/>
          <w:highlight w:val="none"/>
          <w:lang w:eastAsia="zh-CN"/>
        </w:rPr>
        <w:t>支出</w:t>
      </w:r>
      <w:r>
        <w:rPr>
          <w:rFonts w:hint="eastAsia" w:ascii="仿宋" w:hAnsi="仿宋" w:eastAsia="仿宋"/>
          <w:color w:val="000000"/>
          <w:sz w:val="32"/>
          <w:szCs w:val="32"/>
        </w:rPr>
        <w:t>总计</w:t>
      </w:r>
      <w:r>
        <w:rPr>
          <w:rFonts w:hint="eastAsia" w:ascii="仿宋" w:hAnsi="仿宋" w:eastAsia="仿宋"/>
          <w:color w:val="000000"/>
          <w:sz w:val="32"/>
          <w:szCs w:val="32"/>
          <w:lang w:eastAsia="zh-CN"/>
        </w:rPr>
        <w:t>减少</w:t>
      </w:r>
      <w:r>
        <w:rPr>
          <w:rFonts w:hint="eastAsia" w:ascii="仿宋" w:hAnsi="仿宋" w:eastAsia="仿宋"/>
          <w:color w:val="000000"/>
          <w:sz w:val="32"/>
          <w:szCs w:val="32"/>
          <w:lang w:val="en-US" w:eastAsia="zh-CN"/>
        </w:rPr>
        <w:t>276.44</w:t>
      </w:r>
      <w:r>
        <w:rPr>
          <w:rFonts w:hint="eastAsia" w:ascii="仿宋" w:hAnsi="仿宋" w:eastAsia="仿宋"/>
          <w:color w:val="000000"/>
          <w:sz w:val="32"/>
          <w:szCs w:val="32"/>
          <w:lang w:eastAsia="zh-CN"/>
        </w:rPr>
        <w:t>万元</w:t>
      </w:r>
      <w:r>
        <w:rPr>
          <w:rFonts w:hint="eastAsia" w:ascii="仿宋" w:hAnsi="仿宋" w:eastAsia="仿宋"/>
          <w:color w:val="000000"/>
          <w:sz w:val="32"/>
          <w:szCs w:val="32"/>
        </w:rPr>
        <w:t>，</w:t>
      </w:r>
      <w:r>
        <w:rPr>
          <w:rFonts w:hint="eastAsia" w:ascii="仿宋" w:hAnsi="仿宋" w:eastAsia="仿宋"/>
          <w:color w:val="000000"/>
          <w:sz w:val="32"/>
          <w:szCs w:val="32"/>
          <w:lang w:eastAsia="zh-CN"/>
        </w:rPr>
        <w:t>减少</w:t>
      </w:r>
      <w:r>
        <w:rPr>
          <w:rFonts w:hint="eastAsia" w:ascii="仿宋" w:hAnsi="仿宋" w:eastAsia="仿宋"/>
          <w:color w:val="000000"/>
          <w:sz w:val="32"/>
          <w:szCs w:val="32"/>
          <w:lang w:val="en-US" w:eastAsia="zh-CN"/>
        </w:rPr>
        <w:t>1.89</w:t>
      </w:r>
      <w:r>
        <w:rPr>
          <w:rFonts w:ascii="仿宋" w:hAnsi="仿宋" w:eastAsia="仿宋"/>
          <w:color w:val="000000"/>
          <w:sz w:val="32"/>
          <w:szCs w:val="32"/>
        </w:rPr>
        <w:t>%</w:t>
      </w:r>
      <w:r>
        <w:rPr>
          <w:rFonts w:hint="eastAsia" w:ascii="仿宋" w:hAnsi="仿宋" w:eastAsia="仿宋"/>
          <w:color w:val="000000"/>
          <w:sz w:val="32"/>
          <w:szCs w:val="32"/>
          <w:lang w:eastAsia="zh-CN"/>
        </w:rPr>
        <w:t>。</w:t>
      </w:r>
    </w:p>
    <w:p>
      <w:pPr>
        <w:spacing w:line="600" w:lineRule="exact"/>
        <w:ind w:firstLine="640" w:firstLineChars="200"/>
        <w:rPr>
          <w:rFonts w:hint="eastAsia" w:ascii="仿宋" w:hAnsi="仿宋" w:eastAsia="仿宋"/>
          <w:color w:val="000000"/>
          <w:sz w:val="32"/>
          <w:szCs w:val="32"/>
          <w:lang w:eastAsia="zh-CN"/>
        </w:rPr>
      </w:pPr>
      <w:r>
        <w:rPr>
          <w:rFonts w:hint="eastAsia" w:ascii="仿宋" w:hAnsi="仿宋" w:eastAsia="仿宋"/>
          <w:color w:val="000000"/>
          <w:sz w:val="32"/>
          <w:szCs w:val="32"/>
          <w:highlight w:val="none"/>
        </w:rPr>
        <w:t>主要变动原因是</w:t>
      </w:r>
      <w:r>
        <w:rPr>
          <w:rFonts w:hint="eastAsia" w:ascii="仿宋" w:hAnsi="仿宋" w:eastAsia="仿宋"/>
          <w:color w:val="000000"/>
          <w:sz w:val="32"/>
          <w:szCs w:val="32"/>
          <w:lang w:eastAsia="zh-CN"/>
        </w:rPr>
        <w:t>学院二期改扩建工程</w:t>
      </w:r>
      <w:r>
        <w:rPr>
          <w:rFonts w:hint="eastAsia" w:ascii="仿宋" w:hAnsi="仿宋" w:eastAsia="仿宋"/>
          <w:color w:val="000000"/>
          <w:sz w:val="32"/>
          <w:szCs w:val="32"/>
          <w:lang w:val="en-US" w:eastAsia="zh-CN"/>
        </w:rPr>
        <w:t>2021年支出略有减少</w:t>
      </w:r>
      <w:r>
        <w:rPr>
          <w:rFonts w:hint="eastAsia" w:ascii="仿宋" w:hAnsi="仿宋" w:eastAsia="仿宋"/>
          <w:color w:val="000000"/>
          <w:sz w:val="32"/>
          <w:szCs w:val="32"/>
          <w:lang w:eastAsia="zh-CN"/>
        </w:rPr>
        <w:t>。</w:t>
      </w:r>
    </w:p>
    <w:p>
      <w:pPr>
        <w:spacing w:line="600" w:lineRule="exact"/>
        <w:ind w:firstLine="640"/>
        <w:rPr>
          <w:rFonts w:ascii="仿宋" w:hAnsi="仿宋" w:eastAsia="仿宋"/>
          <w:color w:val="000000"/>
          <w:sz w:val="32"/>
          <w:szCs w:val="32"/>
          <w:highlight w:val="none"/>
        </w:rPr>
      </w:pPr>
      <w:r>
        <w:rPr>
          <w:rFonts w:hint="eastAsia" w:ascii="仿宋" w:hAnsi="仿宋" w:eastAsia="仿宋"/>
          <w:color w:val="000000"/>
          <w:sz w:val="32"/>
          <w:szCs w:val="32"/>
          <w:highlight w:val="none"/>
          <w:lang w:eastAsia="zh-CN"/>
        </w:rPr>
        <w:t>。</w:t>
      </w:r>
    </w:p>
    <w:p>
      <w:pPr>
        <w:spacing w:line="600" w:lineRule="exact"/>
        <w:ind w:firstLine="640" w:firstLineChars="200"/>
        <w:rPr>
          <w:rFonts w:ascii="仿宋" w:hAnsi="仿宋" w:eastAsia="仿宋"/>
          <w:color w:val="000000" w:themeColor="text1"/>
          <w:sz w:val="32"/>
          <w:szCs w:val="32"/>
          <w14:textFill>
            <w14:solidFill>
              <w14:schemeClr w14:val="tx1"/>
            </w14:solidFill>
          </w14:textFill>
        </w:rPr>
      </w:pPr>
      <w:r>
        <w:rPr>
          <w:rFonts w:hint="eastAsia" w:ascii="仿宋" w:hAnsi="仿宋" w:eastAsia="仿宋"/>
          <w:color w:val="000000" w:themeColor="text1"/>
          <w:sz w:val="32"/>
          <w:szCs w:val="32"/>
          <w14:textFill>
            <w14:solidFill>
              <w14:schemeClr w14:val="tx1"/>
            </w14:solidFill>
          </w14:textFill>
        </w:rPr>
        <w:t>（图4：财政拨款收、支决算总计变动情况）（柱状图）</w:t>
      </w:r>
    </w:p>
    <w:p>
      <w:pPr>
        <w:spacing w:line="600" w:lineRule="exact"/>
        <w:ind w:firstLine="640"/>
        <w:rPr>
          <w:rFonts w:ascii="仿宋" w:hAnsi="仿宋" w:eastAsia="仿宋"/>
          <w:b/>
          <w:color w:val="00B050"/>
          <w:sz w:val="32"/>
          <w:szCs w:val="32"/>
        </w:rPr>
      </w:pPr>
    </w:p>
    <w:p>
      <w:pPr>
        <w:spacing w:line="600" w:lineRule="exact"/>
        <w:ind w:firstLine="640"/>
        <w:rPr>
          <w:rFonts w:ascii="仿宋" w:hAnsi="仿宋" w:eastAsia="仿宋"/>
          <w:b/>
          <w:color w:val="00B050"/>
          <w:sz w:val="32"/>
          <w:szCs w:val="32"/>
        </w:rPr>
      </w:pPr>
    </w:p>
    <w:p>
      <w:pPr>
        <w:spacing w:line="600" w:lineRule="exact"/>
        <w:ind w:firstLine="640"/>
        <w:rPr>
          <w:rFonts w:ascii="仿宋" w:hAnsi="仿宋" w:eastAsia="仿宋"/>
          <w:b/>
          <w:color w:val="00B050"/>
          <w:sz w:val="32"/>
          <w:szCs w:val="32"/>
        </w:rPr>
      </w:pPr>
    </w:p>
    <w:p>
      <w:pPr>
        <w:spacing w:line="600" w:lineRule="exact"/>
        <w:ind w:firstLine="640"/>
        <w:rPr>
          <w:rFonts w:ascii="仿宋" w:hAnsi="仿宋" w:eastAsia="仿宋"/>
          <w:b/>
          <w:color w:val="00B050"/>
          <w:sz w:val="32"/>
          <w:szCs w:val="32"/>
        </w:rPr>
      </w:pPr>
    </w:p>
    <w:p>
      <w:pPr>
        <w:spacing w:line="600" w:lineRule="exact"/>
        <w:ind w:firstLine="640"/>
        <w:rPr>
          <w:rFonts w:ascii="仿宋" w:hAnsi="仿宋" w:eastAsia="仿宋"/>
          <w:b/>
          <w:color w:val="00B050"/>
          <w:sz w:val="32"/>
          <w:szCs w:val="32"/>
        </w:rPr>
      </w:pPr>
      <w:r>
        <w:drawing>
          <wp:anchor distT="0" distB="0" distL="114300" distR="114300" simplePos="0" relativeHeight="251669504" behindDoc="0" locked="0" layoutInCell="1" allowOverlap="1">
            <wp:simplePos x="0" y="0"/>
            <wp:positionH relativeFrom="column">
              <wp:posOffset>382270</wp:posOffset>
            </wp:positionH>
            <wp:positionV relativeFrom="paragraph">
              <wp:posOffset>213360</wp:posOffset>
            </wp:positionV>
            <wp:extent cx="4572000" cy="2743200"/>
            <wp:effectExtent l="4445" t="4445" r="14605" b="14605"/>
            <wp:wrapSquare wrapText="bothSides"/>
            <wp:docPr id="6" name="图表 2"/>
            <wp:cNvGraphicFramePr/>
            <a:graphic xmlns:a="http://schemas.openxmlformats.org/drawingml/2006/main">
              <a:graphicData uri="http://schemas.openxmlformats.org/drawingml/2006/chart">
                <c:chart xmlns:c="http://schemas.openxmlformats.org/drawingml/2006/chart" xmlns:r="http://schemas.openxmlformats.org/officeDocument/2006/relationships" r:id="rId9"/>
              </a:graphicData>
            </a:graphic>
          </wp:anchor>
        </w:drawing>
      </w:r>
    </w:p>
    <w:p>
      <w:pPr>
        <w:spacing w:line="600" w:lineRule="exact"/>
        <w:ind w:firstLine="640"/>
        <w:rPr>
          <w:rFonts w:ascii="仿宋" w:hAnsi="仿宋" w:eastAsia="仿宋"/>
          <w:b/>
          <w:color w:val="00B050"/>
          <w:sz w:val="32"/>
          <w:szCs w:val="32"/>
        </w:rPr>
      </w:pPr>
    </w:p>
    <w:p>
      <w:pPr>
        <w:spacing w:line="600" w:lineRule="exact"/>
        <w:ind w:firstLine="640"/>
        <w:rPr>
          <w:rFonts w:ascii="仿宋" w:hAnsi="仿宋" w:eastAsia="仿宋"/>
          <w:b/>
          <w:color w:val="00B050"/>
          <w:sz w:val="32"/>
          <w:szCs w:val="32"/>
        </w:rPr>
      </w:pPr>
    </w:p>
    <w:p>
      <w:pPr>
        <w:spacing w:line="600" w:lineRule="exact"/>
        <w:ind w:firstLine="640"/>
        <w:rPr>
          <w:rFonts w:ascii="仿宋" w:hAnsi="仿宋" w:eastAsia="仿宋"/>
          <w:b/>
          <w:color w:val="00B050"/>
          <w:sz w:val="32"/>
          <w:szCs w:val="32"/>
        </w:rPr>
      </w:pPr>
    </w:p>
    <w:p>
      <w:pPr>
        <w:pStyle w:val="9"/>
        <w:rPr>
          <w:rFonts w:ascii="仿宋" w:hAnsi="仿宋" w:eastAsia="仿宋"/>
          <w:b/>
          <w:color w:val="00B050"/>
          <w:sz w:val="32"/>
          <w:szCs w:val="32"/>
        </w:rPr>
      </w:pPr>
    </w:p>
    <w:p>
      <w:pPr>
        <w:rPr>
          <w:rFonts w:ascii="仿宋" w:hAnsi="仿宋" w:eastAsia="仿宋"/>
          <w:b/>
          <w:color w:val="00B050"/>
          <w:sz w:val="32"/>
          <w:szCs w:val="32"/>
        </w:rPr>
      </w:pPr>
    </w:p>
    <w:p>
      <w:pPr>
        <w:pStyle w:val="9"/>
        <w:rPr>
          <w:rFonts w:ascii="仿宋" w:hAnsi="仿宋" w:eastAsia="仿宋"/>
          <w:b/>
          <w:color w:val="00B050"/>
          <w:sz w:val="32"/>
          <w:szCs w:val="32"/>
        </w:rPr>
      </w:pPr>
    </w:p>
    <w:p>
      <w:pPr>
        <w:rPr>
          <w:rFonts w:ascii="仿宋" w:hAnsi="仿宋" w:eastAsia="仿宋"/>
          <w:b/>
          <w:color w:val="00B050"/>
          <w:sz w:val="32"/>
          <w:szCs w:val="32"/>
        </w:rPr>
      </w:pPr>
    </w:p>
    <w:p>
      <w:pPr>
        <w:pStyle w:val="9"/>
        <w:rPr>
          <w:rFonts w:ascii="仿宋" w:hAnsi="仿宋" w:eastAsia="仿宋"/>
          <w:b/>
          <w:color w:val="00B050"/>
          <w:sz w:val="32"/>
          <w:szCs w:val="32"/>
        </w:rPr>
      </w:pPr>
    </w:p>
    <w:p>
      <w:pPr>
        <w:spacing w:line="600" w:lineRule="exact"/>
        <w:ind w:firstLine="640" w:firstLineChars="200"/>
        <w:outlineLvl w:val="1"/>
        <w:rPr>
          <w:rStyle w:val="26"/>
          <w:rFonts w:ascii="黑体" w:hAnsi="黑体" w:eastAsia="黑体"/>
          <w:b w:val="0"/>
        </w:rPr>
      </w:pPr>
      <w:bookmarkStart w:id="100" w:name="_Toc15377209"/>
      <w:bookmarkStart w:id="101" w:name="_Toc580365366_WPSOffice_Level2"/>
      <w:bookmarkStart w:id="102" w:name="_Toc15396607"/>
      <w:r>
        <w:rPr>
          <w:rFonts w:hint="eastAsia" w:ascii="黑体" w:hAnsi="黑体" w:eastAsia="黑体"/>
          <w:color w:val="000000"/>
          <w:sz w:val="32"/>
          <w:szCs w:val="32"/>
        </w:rPr>
        <w:t>五、</w:t>
      </w:r>
      <w:r>
        <w:rPr>
          <w:rFonts w:hint="eastAsia" w:ascii="黑体" w:hAnsi="黑体" w:eastAsia="黑体"/>
          <w:b/>
          <w:color w:val="000000"/>
          <w:sz w:val="32"/>
          <w:szCs w:val="32"/>
        </w:rPr>
        <w:t>一</w:t>
      </w:r>
      <w:r>
        <w:rPr>
          <w:rStyle w:val="26"/>
          <w:rFonts w:hint="eastAsia" w:ascii="黑体" w:hAnsi="黑体" w:eastAsia="黑体"/>
          <w:b w:val="0"/>
        </w:rPr>
        <w:t>般公共预算财政拨款支出决算情况说明</w:t>
      </w:r>
      <w:bookmarkEnd w:id="100"/>
      <w:bookmarkEnd w:id="101"/>
      <w:bookmarkEnd w:id="102"/>
    </w:p>
    <w:p>
      <w:pPr>
        <w:spacing w:line="600" w:lineRule="exact"/>
        <w:ind w:firstLine="642" w:firstLineChars="200"/>
        <w:outlineLvl w:val="2"/>
        <w:rPr>
          <w:rFonts w:ascii="仿宋" w:hAnsi="仿宋" w:eastAsia="仿宋"/>
          <w:b/>
          <w:color w:val="000000"/>
          <w:sz w:val="32"/>
          <w:szCs w:val="32"/>
        </w:rPr>
      </w:pPr>
      <w:bookmarkStart w:id="103" w:name="_Toc15377210"/>
      <w:bookmarkStart w:id="104" w:name="_Toc854237424_WPSOffice_Level3"/>
      <w:r>
        <w:rPr>
          <w:rFonts w:hint="eastAsia" w:ascii="仿宋" w:hAnsi="仿宋" w:eastAsia="仿宋"/>
          <w:b/>
          <w:color w:val="000000"/>
          <w:sz w:val="32"/>
          <w:szCs w:val="32"/>
        </w:rPr>
        <w:t>（一）一般公共预算财政拨款支出决算总体情况</w:t>
      </w:r>
      <w:bookmarkEnd w:id="103"/>
      <w:bookmarkEnd w:id="104"/>
    </w:p>
    <w:p>
      <w:pPr>
        <w:spacing w:line="600" w:lineRule="exact"/>
        <w:ind w:firstLine="640" w:firstLineChars="200"/>
        <w:outlineLvl w:val="9"/>
        <w:rPr>
          <w:rFonts w:hint="eastAsia" w:ascii="仿宋" w:hAnsi="仿宋" w:eastAsia="仿宋"/>
          <w:color w:val="000000" w:themeColor="text1"/>
          <w:sz w:val="32"/>
          <w:szCs w:val="32"/>
          <w14:textFill>
            <w14:solidFill>
              <w14:schemeClr w14:val="tx1"/>
            </w14:solidFill>
          </w14:textFill>
        </w:rPr>
      </w:pPr>
      <w:r>
        <w:rPr>
          <w:rFonts w:ascii="仿宋" w:hAnsi="仿宋" w:eastAsia="仿宋"/>
          <w:color w:val="000000"/>
          <w:sz w:val="32"/>
          <w:szCs w:val="32"/>
        </w:rPr>
        <w:t>20</w:t>
      </w:r>
      <w:r>
        <w:rPr>
          <w:rFonts w:hint="eastAsia" w:ascii="仿宋" w:hAnsi="仿宋" w:eastAsia="仿宋"/>
          <w:color w:val="000000"/>
          <w:sz w:val="32"/>
          <w:szCs w:val="32"/>
        </w:rPr>
        <w:t>2</w:t>
      </w:r>
      <w:r>
        <w:rPr>
          <w:rFonts w:hint="eastAsia" w:ascii="仿宋" w:hAnsi="仿宋" w:eastAsia="仿宋"/>
          <w:color w:val="000000"/>
          <w:sz w:val="32"/>
          <w:szCs w:val="32"/>
          <w:lang w:val="en-US" w:eastAsia="zh-CN"/>
        </w:rPr>
        <w:t>1</w:t>
      </w:r>
      <w:r>
        <w:rPr>
          <w:rFonts w:hint="eastAsia" w:ascii="仿宋" w:hAnsi="仿宋" w:eastAsia="仿宋"/>
          <w:color w:val="000000"/>
          <w:sz w:val="32"/>
          <w:szCs w:val="32"/>
        </w:rPr>
        <w:t>年一般公共预算财政拨款支出</w:t>
      </w:r>
      <w:r>
        <w:rPr>
          <w:rFonts w:hint="eastAsia" w:ascii="仿宋" w:hAnsi="仿宋" w:eastAsia="仿宋"/>
          <w:color w:val="000000"/>
          <w:sz w:val="32"/>
          <w:szCs w:val="32"/>
          <w:lang w:val="en-US" w:eastAsia="zh-CN"/>
        </w:rPr>
        <w:t>4215.25</w:t>
      </w:r>
      <w:r>
        <w:rPr>
          <w:rFonts w:hint="eastAsia" w:ascii="仿宋" w:hAnsi="仿宋" w:eastAsia="仿宋"/>
          <w:color w:val="000000"/>
          <w:sz w:val="32"/>
          <w:szCs w:val="32"/>
        </w:rPr>
        <w:t>万元，占本年支出合计的</w:t>
      </w:r>
      <w:r>
        <w:rPr>
          <w:rFonts w:hint="eastAsia" w:ascii="仿宋" w:hAnsi="仿宋" w:eastAsia="仿宋"/>
          <w:color w:val="000000"/>
          <w:sz w:val="32"/>
          <w:szCs w:val="32"/>
          <w:lang w:val="en-US" w:eastAsia="zh-CN"/>
        </w:rPr>
        <w:t>29.44</w:t>
      </w:r>
      <w:r>
        <w:rPr>
          <w:rFonts w:ascii="仿宋" w:hAnsi="仿宋" w:eastAsia="仿宋"/>
          <w:color w:val="000000"/>
          <w:sz w:val="32"/>
          <w:szCs w:val="32"/>
        </w:rPr>
        <w:t>%</w:t>
      </w:r>
      <w:r>
        <w:rPr>
          <w:rFonts w:hint="eastAsia" w:ascii="仿宋" w:hAnsi="仿宋" w:eastAsia="仿宋"/>
          <w:color w:val="000000"/>
          <w:sz w:val="32"/>
          <w:szCs w:val="32"/>
        </w:rPr>
        <w:t>。与</w:t>
      </w:r>
      <w:r>
        <w:rPr>
          <w:rFonts w:ascii="仿宋" w:hAnsi="仿宋" w:eastAsia="仿宋"/>
          <w:color w:val="000000"/>
          <w:sz w:val="32"/>
          <w:szCs w:val="32"/>
        </w:rPr>
        <w:t>20</w:t>
      </w:r>
      <w:r>
        <w:rPr>
          <w:rFonts w:hint="eastAsia" w:ascii="仿宋" w:hAnsi="仿宋" w:eastAsia="仿宋"/>
          <w:color w:val="000000"/>
          <w:sz w:val="32"/>
          <w:szCs w:val="32"/>
          <w:lang w:val="en-US" w:eastAsia="zh-CN"/>
        </w:rPr>
        <w:t>20</w:t>
      </w:r>
      <w:r>
        <w:rPr>
          <w:rFonts w:hint="eastAsia" w:ascii="仿宋" w:hAnsi="仿宋" w:eastAsia="仿宋"/>
          <w:color w:val="000000"/>
          <w:sz w:val="32"/>
          <w:szCs w:val="32"/>
        </w:rPr>
        <w:t>年相比，一般公共预算财政拨款增加</w:t>
      </w:r>
      <w:r>
        <w:rPr>
          <w:rFonts w:hint="eastAsia" w:ascii="仿宋" w:hAnsi="仿宋" w:eastAsia="仿宋"/>
          <w:color w:val="000000"/>
          <w:sz w:val="32"/>
          <w:szCs w:val="32"/>
          <w:highlight w:val="none"/>
          <w:lang w:val="en-US" w:eastAsia="zh-CN"/>
        </w:rPr>
        <w:t>1412.26</w:t>
      </w:r>
      <w:r>
        <w:rPr>
          <w:rFonts w:hint="eastAsia" w:ascii="仿宋" w:hAnsi="仿宋" w:eastAsia="仿宋"/>
          <w:color w:val="000000"/>
          <w:sz w:val="32"/>
          <w:szCs w:val="32"/>
        </w:rPr>
        <w:t>万元，增长</w:t>
      </w:r>
      <w:r>
        <w:rPr>
          <w:rFonts w:hint="eastAsia" w:ascii="仿宋" w:hAnsi="仿宋" w:eastAsia="仿宋"/>
          <w:color w:val="000000"/>
          <w:sz w:val="32"/>
          <w:szCs w:val="32"/>
          <w:highlight w:val="none"/>
          <w:lang w:val="en-US" w:eastAsia="zh-CN"/>
        </w:rPr>
        <w:t>50.38</w:t>
      </w:r>
      <w:r>
        <w:rPr>
          <w:rFonts w:ascii="仿宋" w:hAnsi="仿宋" w:eastAsia="仿宋"/>
          <w:color w:val="000000"/>
          <w:sz w:val="32"/>
          <w:szCs w:val="32"/>
        </w:rPr>
        <w:t>%</w:t>
      </w:r>
      <w:r>
        <w:rPr>
          <w:rFonts w:hint="eastAsia" w:ascii="仿宋" w:hAnsi="仿宋" w:eastAsia="仿宋"/>
          <w:color w:val="000000"/>
          <w:sz w:val="32"/>
          <w:szCs w:val="32"/>
        </w:rPr>
        <w:t>。主要变动原因是</w:t>
      </w:r>
      <w:r>
        <w:rPr>
          <w:rFonts w:hint="eastAsia" w:ascii="仿宋" w:hAnsi="仿宋" w:eastAsia="仿宋"/>
          <w:color w:val="000000"/>
          <w:sz w:val="32"/>
          <w:szCs w:val="32"/>
          <w:highlight w:val="none"/>
          <w:lang w:eastAsia="zh-CN"/>
        </w:rPr>
        <w:t>培训量增加、培训开支较大。</w:t>
      </w:r>
    </w:p>
    <w:p>
      <w:pPr>
        <w:spacing w:line="600" w:lineRule="exact"/>
        <w:ind w:firstLine="640" w:firstLineChars="200"/>
        <w:outlineLvl w:val="9"/>
        <w:rPr>
          <w:rFonts w:ascii="仿宋" w:hAnsi="仿宋" w:eastAsia="仿宋"/>
          <w:color w:val="000000" w:themeColor="text1"/>
          <w:sz w:val="32"/>
          <w:szCs w:val="32"/>
          <w14:textFill>
            <w14:solidFill>
              <w14:schemeClr w14:val="tx1"/>
            </w14:solidFill>
          </w14:textFill>
        </w:rPr>
      </w:pPr>
      <w:r>
        <w:rPr>
          <w:rFonts w:hint="eastAsia" w:ascii="仿宋" w:hAnsi="仿宋" w:eastAsia="仿宋"/>
          <w:color w:val="000000" w:themeColor="text1"/>
          <w:sz w:val="32"/>
          <w:szCs w:val="32"/>
          <w14:textFill>
            <w14:solidFill>
              <w14:schemeClr w14:val="tx1"/>
            </w14:solidFill>
          </w14:textFill>
        </w:rPr>
        <w:t>（图5：一般公共预算财政拨款支出决算变动情况）（柱状图）</w:t>
      </w:r>
    </w:p>
    <w:p>
      <w:pPr>
        <w:spacing w:line="600" w:lineRule="exact"/>
        <w:ind w:firstLine="640" w:firstLineChars="200"/>
        <w:outlineLvl w:val="9"/>
        <w:rPr>
          <w:rFonts w:ascii="仿宋" w:hAnsi="仿宋" w:eastAsia="仿宋"/>
          <w:color w:val="000000" w:themeColor="text1"/>
          <w:sz w:val="32"/>
          <w:szCs w:val="32"/>
          <w14:textFill>
            <w14:solidFill>
              <w14:schemeClr w14:val="tx1"/>
            </w14:solidFill>
          </w14:textFill>
        </w:rPr>
      </w:pPr>
    </w:p>
    <w:p>
      <w:pPr>
        <w:spacing w:line="600" w:lineRule="exact"/>
        <w:ind w:firstLine="640" w:firstLineChars="200"/>
        <w:outlineLvl w:val="9"/>
        <w:rPr>
          <w:rFonts w:ascii="仿宋" w:hAnsi="仿宋" w:eastAsia="仿宋"/>
          <w:color w:val="000000" w:themeColor="text1"/>
          <w:sz w:val="32"/>
          <w:szCs w:val="32"/>
          <w14:textFill>
            <w14:solidFill>
              <w14:schemeClr w14:val="tx1"/>
            </w14:solidFill>
          </w14:textFill>
        </w:rPr>
      </w:pPr>
    </w:p>
    <w:p>
      <w:pPr>
        <w:spacing w:line="600" w:lineRule="exact"/>
        <w:ind w:firstLine="640" w:firstLineChars="200"/>
        <w:outlineLvl w:val="9"/>
        <w:rPr>
          <w:rFonts w:ascii="仿宋" w:hAnsi="仿宋" w:eastAsia="仿宋"/>
          <w:color w:val="000000" w:themeColor="text1"/>
          <w:sz w:val="32"/>
          <w:szCs w:val="32"/>
          <w14:textFill>
            <w14:solidFill>
              <w14:schemeClr w14:val="tx1"/>
            </w14:solidFill>
          </w14:textFill>
        </w:rPr>
      </w:pPr>
    </w:p>
    <w:p>
      <w:pPr>
        <w:spacing w:line="600" w:lineRule="exact"/>
        <w:ind w:firstLine="640" w:firstLineChars="200"/>
        <w:outlineLvl w:val="9"/>
        <w:rPr>
          <w:rFonts w:ascii="仿宋" w:hAnsi="仿宋" w:eastAsia="仿宋"/>
          <w:color w:val="000000" w:themeColor="text1"/>
          <w:sz w:val="32"/>
          <w:szCs w:val="32"/>
          <w14:textFill>
            <w14:solidFill>
              <w14:schemeClr w14:val="tx1"/>
            </w14:solidFill>
          </w14:textFill>
        </w:rPr>
      </w:pPr>
    </w:p>
    <w:p>
      <w:pPr>
        <w:spacing w:line="600" w:lineRule="exact"/>
        <w:ind w:firstLine="642" w:firstLineChars="200"/>
        <w:outlineLvl w:val="9"/>
        <w:rPr>
          <w:rFonts w:hint="eastAsia" w:ascii="仿宋" w:hAnsi="仿宋" w:eastAsia="仿宋"/>
          <w:b/>
          <w:color w:val="000000"/>
          <w:sz w:val="32"/>
          <w:szCs w:val="32"/>
        </w:rPr>
      </w:pPr>
      <w:bookmarkStart w:id="105" w:name="_Toc15377211"/>
    </w:p>
    <w:p>
      <w:pPr>
        <w:spacing w:line="600" w:lineRule="exact"/>
        <w:ind w:firstLine="420" w:firstLineChars="200"/>
        <w:outlineLvl w:val="9"/>
        <w:rPr>
          <w:rFonts w:hint="eastAsia" w:ascii="仿宋" w:hAnsi="仿宋" w:eastAsia="仿宋"/>
          <w:b/>
          <w:color w:val="000000"/>
          <w:sz w:val="32"/>
          <w:szCs w:val="32"/>
        </w:rPr>
      </w:pPr>
      <w:r>
        <w:drawing>
          <wp:anchor distT="0" distB="0" distL="114300" distR="114300" simplePos="0" relativeHeight="251670528" behindDoc="0" locked="0" layoutInCell="1" allowOverlap="1">
            <wp:simplePos x="0" y="0"/>
            <wp:positionH relativeFrom="column">
              <wp:posOffset>433070</wp:posOffset>
            </wp:positionH>
            <wp:positionV relativeFrom="paragraph">
              <wp:posOffset>222885</wp:posOffset>
            </wp:positionV>
            <wp:extent cx="4572000" cy="2743200"/>
            <wp:effectExtent l="4445" t="4445" r="14605" b="14605"/>
            <wp:wrapSquare wrapText="bothSides"/>
            <wp:docPr id="9" name="图表 2"/>
            <wp:cNvGraphicFramePr/>
            <a:graphic xmlns:a="http://schemas.openxmlformats.org/drawingml/2006/main">
              <a:graphicData uri="http://schemas.openxmlformats.org/drawingml/2006/chart">
                <c:chart xmlns:c="http://schemas.openxmlformats.org/drawingml/2006/chart" xmlns:r="http://schemas.openxmlformats.org/officeDocument/2006/relationships" r:id="rId10"/>
              </a:graphicData>
            </a:graphic>
          </wp:anchor>
        </w:drawing>
      </w:r>
    </w:p>
    <w:p>
      <w:pPr>
        <w:spacing w:line="600" w:lineRule="exact"/>
        <w:ind w:firstLine="642" w:firstLineChars="200"/>
        <w:outlineLvl w:val="9"/>
        <w:rPr>
          <w:rFonts w:hint="eastAsia" w:ascii="仿宋" w:hAnsi="仿宋" w:eastAsia="仿宋"/>
          <w:b/>
          <w:color w:val="000000"/>
          <w:sz w:val="32"/>
          <w:szCs w:val="32"/>
        </w:rPr>
      </w:pPr>
    </w:p>
    <w:p>
      <w:pPr>
        <w:spacing w:line="600" w:lineRule="exact"/>
        <w:ind w:firstLine="642" w:firstLineChars="200"/>
        <w:outlineLvl w:val="9"/>
        <w:rPr>
          <w:rFonts w:hint="eastAsia" w:ascii="仿宋" w:hAnsi="仿宋" w:eastAsia="仿宋"/>
          <w:b/>
          <w:color w:val="000000"/>
          <w:sz w:val="32"/>
          <w:szCs w:val="32"/>
        </w:rPr>
      </w:pPr>
    </w:p>
    <w:p>
      <w:pPr>
        <w:spacing w:line="600" w:lineRule="exact"/>
        <w:ind w:firstLine="642" w:firstLineChars="200"/>
        <w:outlineLvl w:val="9"/>
        <w:rPr>
          <w:rFonts w:hint="eastAsia" w:ascii="仿宋" w:hAnsi="仿宋" w:eastAsia="仿宋"/>
          <w:b/>
          <w:color w:val="000000"/>
          <w:sz w:val="32"/>
          <w:szCs w:val="32"/>
        </w:rPr>
      </w:pPr>
    </w:p>
    <w:p>
      <w:pPr>
        <w:spacing w:line="600" w:lineRule="exact"/>
        <w:outlineLvl w:val="9"/>
        <w:rPr>
          <w:rFonts w:hint="eastAsia" w:ascii="仿宋" w:hAnsi="仿宋" w:eastAsia="仿宋"/>
          <w:b/>
          <w:color w:val="000000"/>
          <w:sz w:val="32"/>
          <w:szCs w:val="32"/>
        </w:rPr>
      </w:pPr>
    </w:p>
    <w:p>
      <w:pPr>
        <w:spacing w:line="600" w:lineRule="exact"/>
        <w:ind w:firstLine="642" w:firstLineChars="200"/>
        <w:outlineLvl w:val="2"/>
        <w:rPr>
          <w:rFonts w:ascii="仿宋" w:hAnsi="仿宋" w:eastAsia="仿宋"/>
          <w:b/>
          <w:color w:val="000000"/>
          <w:sz w:val="32"/>
          <w:szCs w:val="32"/>
        </w:rPr>
      </w:pPr>
      <w:bookmarkStart w:id="106" w:name="_Toc718182856_WPSOffice_Level3"/>
      <w:r>
        <w:rPr>
          <w:rFonts w:hint="eastAsia" w:ascii="仿宋" w:hAnsi="仿宋" w:eastAsia="仿宋"/>
          <w:b/>
          <w:color w:val="000000"/>
          <w:sz w:val="32"/>
          <w:szCs w:val="32"/>
        </w:rPr>
        <w:t>（二）一般公共预算财政拨款支出决算结构情况</w:t>
      </w:r>
      <w:bookmarkEnd w:id="105"/>
      <w:bookmarkEnd w:id="106"/>
    </w:p>
    <w:p>
      <w:pPr>
        <w:spacing w:line="600" w:lineRule="exact"/>
        <w:ind w:firstLine="640"/>
        <w:rPr>
          <w:rFonts w:ascii="仿宋" w:hAnsi="仿宋" w:eastAsia="仿宋"/>
          <w:b/>
          <w:color w:val="000000" w:themeColor="text1"/>
          <w:sz w:val="32"/>
          <w:szCs w:val="32"/>
          <w14:textFill>
            <w14:solidFill>
              <w14:schemeClr w14:val="tx1"/>
            </w14:solidFill>
          </w14:textFill>
        </w:rPr>
      </w:pPr>
      <w:r>
        <w:rPr>
          <w:rFonts w:ascii="仿宋" w:hAnsi="仿宋" w:eastAsia="仿宋"/>
          <w:color w:val="000000"/>
          <w:sz w:val="32"/>
          <w:szCs w:val="32"/>
        </w:rPr>
        <w:t>20</w:t>
      </w:r>
      <w:r>
        <w:rPr>
          <w:rFonts w:hint="eastAsia" w:ascii="仿宋" w:hAnsi="仿宋" w:eastAsia="仿宋"/>
          <w:color w:val="000000"/>
          <w:sz w:val="32"/>
          <w:szCs w:val="32"/>
        </w:rPr>
        <w:t>2</w:t>
      </w:r>
      <w:r>
        <w:rPr>
          <w:rFonts w:hint="eastAsia" w:ascii="仿宋" w:hAnsi="仿宋" w:eastAsia="仿宋"/>
          <w:color w:val="000000"/>
          <w:sz w:val="32"/>
          <w:szCs w:val="32"/>
          <w:lang w:val="en-US" w:eastAsia="zh-CN"/>
        </w:rPr>
        <w:t>1</w:t>
      </w:r>
      <w:r>
        <w:rPr>
          <w:rFonts w:hint="eastAsia" w:ascii="仿宋" w:hAnsi="仿宋" w:eastAsia="仿宋"/>
          <w:color w:val="000000"/>
          <w:sz w:val="32"/>
          <w:szCs w:val="32"/>
        </w:rPr>
        <w:t>年一般公共预算财</w:t>
      </w:r>
      <w:r>
        <w:rPr>
          <w:rFonts w:hint="eastAsia" w:ascii="仿宋" w:hAnsi="仿宋" w:eastAsia="仿宋"/>
          <w:color w:val="000000" w:themeColor="text1"/>
          <w:sz w:val="32"/>
          <w:szCs w:val="32"/>
          <w14:textFill>
            <w14:solidFill>
              <w14:schemeClr w14:val="tx1"/>
            </w14:solidFill>
          </w14:textFill>
        </w:rPr>
        <w:t>政拨款支出</w:t>
      </w:r>
      <w:r>
        <w:rPr>
          <w:rFonts w:hint="eastAsia" w:ascii="仿宋" w:hAnsi="仿宋" w:eastAsia="仿宋"/>
          <w:color w:val="000000" w:themeColor="text1"/>
          <w:sz w:val="32"/>
          <w:szCs w:val="32"/>
          <w:lang w:val="en-US" w:eastAsia="zh-CN"/>
          <w14:textFill>
            <w14:solidFill>
              <w14:schemeClr w14:val="tx1"/>
            </w14:solidFill>
          </w14:textFill>
        </w:rPr>
        <w:t>4215.25</w:t>
      </w:r>
      <w:r>
        <w:rPr>
          <w:rFonts w:hint="eastAsia" w:ascii="仿宋" w:hAnsi="仿宋" w:eastAsia="仿宋"/>
          <w:color w:val="000000" w:themeColor="text1"/>
          <w:sz w:val="32"/>
          <w:szCs w:val="32"/>
          <w14:textFill>
            <w14:solidFill>
              <w14:schemeClr w14:val="tx1"/>
            </w14:solidFill>
          </w14:textFill>
        </w:rPr>
        <w:t>万元，主要用于以下方面</w:t>
      </w:r>
      <w:r>
        <w:rPr>
          <w:rFonts w:ascii="仿宋" w:hAnsi="仿宋" w:eastAsia="仿宋"/>
          <w:color w:val="000000" w:themeColor="text1"/>
          <w:sz w:val="32"/>
          <w:szCs w:val="32"/>
          <w14:textFill>
            <w14:solidFill>
              <w14:schemeClr w14:val="tx1"/>
            </w14:solidFill>
          </w14:textFill>
        </w:rPr>
        <w:t>:</w:t>
      </w:r>
      <w:r>
        <w:rPr>
          <w:rFonts w:hint="eastAsia" w:ascii="仿宋" w:hAnsi="仿宋" w:eastAsia="仿宋"/>
          <w:b/>
          <w:color w:val="000000" w:themeColor="text1"/>
          <w:sz w:val="32"/>
          <w:szCs w:val="32"/>
          <w14:textFill>
            <w14:solidFill>
              <w14:schemeClr w14:val="tx1"/>
            </w14:solidFill>
          </w14:textFill>
        </w:rPr>
        <w:t>教育支出（类）</w:t>
      </w:r>
      <w:r>
        <w:rPr>
          <w:rFonts w:hint="eastAsia" w:ascii="仿宋" w:hAnsi="仿宋" w:eastAsia="仿宋"/>
          <w:color w:val="000000" w:themeColor="text1"/>
          <w:sz w:val="32"/>
          <w:szCs w:val="32"/>
          <w:lang w:val="en-US" w:eastAsia="zh-CN"/>
          <w14:textFill>
            <w14:solidFill>
              <w14:schemeClr w14:val="tx1"/>
            </w14:solidFill>
          </w14:textFill>
        </w:rPr>
        <w:t>4143.89</w:t>
      </w:r>
      <w:r>
        <w:rPr>
          <w:rFonts w:hint="eastAsia" w:ascii="仿宋" w:hAnsi="仿宋" w:eastAsia="仿宋"/>
          <w:color w:val="000000" w:themeColor="text1"/>
          <w:sz w:val="32"/>
          <w:szCs w:val="32"/>
          <w14:textFill>
            <w14:solidFill>
              <w14:schemeClr w14:val="tx1"/>
            </w14:solidFill>
          </w14:textFill>
        </w:rPr>
        <w:t>万元，占</w:t>
      </w:r>
      <w:r>
        <w:rPr>
          <w:rFonts w:hint="eastAsia" w:ascii="仿宋" w:hAnsi="仿宋" w:eastAsia="仿宋"/>
          <w:color w:val="000000" w:themeColor="text1"/>
          <w:sz w:val="32"/>
          <w:szCs w:val="32"/>
          <w:lang w:val="en-US" w:eastAsia="zh-CN"/>
          <w14:textFill>
            <w14:solidFill>
              <w14:schemeClr w14:val="tx1"/>
            </w14:solidFill>
          </w14:textFill>
        </w:rPr>
        <w:t>98.31</w:t>
      </w:r>
      <w:r>
        <w:rPr>
          <w:rFonts w:ascii="仿宋" w:hAnsi="仿宋" w:eastAsia="仿宋"/>
          <w:color w:val="000000" w:themeColor="text1"/>
          <w:sz w:val="32"/>
          <w:szCs w:val="32"/>
          <w14:textFill>
            <w14:solidFill>
              <w14:schemeClr w14:val="tx1"/>
            </w14:solidFill>
          </w14:textFill>
        </w:rPr>
        <w:t>%</w:t>
      </w:r>
      <w:r>
        <w:rPr>
          <w:rFonts w:hint="eastAsia" w:ascii="仿宋" w:hAnsi="仿宋" w:eastAsia="仿宋"/>
          <w:color w:val="000000" w:themeColor="text1"/>
          <w:sz w:val="32"/>
          <w:szCs w:val="32"/>
          <w14:textFill>
            <w14:solidFill>
              <w14:schemeClr w14:val="tx1"/>
            </w14:solidFill>
          </w14:textFill>
        </w:rPr>
        <w:t>；</w:t>
      </w:r>
      <w:r>
        <w:rPr>
          <w:rFonts w:hint="eastAsia" w:ascii="仿宋" w:hAnsi="仿宋" w:eastAsia="仿宋"/>
          <w:b/>
          <w:color w:val="000000" w:themeColor="text1"/>
          <w:sz w:val="32"/>
          <w:szCs w:val="32"/>
          <w14:textFill>
            <w14:solidFill>
              <w14:schemeClr w14:val="tx1"/>
            </w14:solidFill>
          </w14:textFill>
        </w:rPr>
        <w:t>社会保障和就业（类）</w:t>
      </w:r>
      <w:r>
        <w:rPr>
          <w:rFonts w:hint="eastAsia" w:ascii="仿宋" w:hAnsi="仿宋" w:eastAsia="仿宋"/>
          <w:color w:val="000000" w:themeColor="text1"/>
          <w:sz w:val="32"/>
          <w:szCs w:val="32"/>
          <w14:textFill>
            <w14:solidFill>
              <w14:schemeClr w14:val="tx1"/>
            </w14:solidFill>
          </w14:textFill>
        </w:rPr>
        <w:t>支出</w:t>
      </w:r>
      <w:r>
        <w:rPr>
          <w:rFonts w:hint="eastAsia" w:ascii="仿宋" w:hAnsi="仿宋" w:eastAsia="仿宋"/>
          <w:color w:val="000000" w:themeColor="text1"/>
          <w:sz w:val="32"/>
          <w:szCs w:val="32"/>
          <w:lang w:val="en-US" w:eastAsia="zh-CN"/>
          <w14:textFill>
            <w14:solidFill>
              <w14:schemeClr w14:val="tx1"/>
            </w14:solidFill>
          </w14:textFill>
        </w:rPr>
        <w:t>53.25</w:t>
      </w:r>
      <w:r>
        <w:rPr>
          <w:rFonts w:hint="eastAsia" w:ascii="仿宋" w:hAnsi="仿宋" w:eastAsia="仿宋"/>
          <w:color w:val="000000" w:themeColor="text1"/>
          <w:sz w:val="32"/>
          <w:szCs w:val="32"/>
          <w14:textFill>
            <w14:solidFill>
              <w14:schemeClr w14:val="tx1"/>
            </w14:solidFill>
          </w14:textFill>
        </w:rPr>
        <w:t>万元，占</w:t>
      </w:r>
      <w:r>
        <w:rPr>
          <w:rFonts w:hint="eastAsia" w:ascii="仿宋" w:hAnsi="仿宋" w:eastAsia="仿宋"/>
          <w:color w:val="000000" w:themeColor="text1"/>
          <w:sz w:val="32"/>
          <w:szCs w:val="32"/>
          <w:lang w:val="en-US" w:eastAsia="zh-CN"/>
          <w14:textFill>
            <w14:solidFill>
              <w14:schemeClr w14:val="tx1"/>
            </w14:solidFill>
          </w14:textFill>
        </w:rPr>
        <w:t>1.26</w:t>
      </w:r>
      <w:r>
        <w:rPr>
          <w:rFonts w:ascii="仿宋" w:hAnsi="仿宋" w:eastAsia="仿宋"/>
          <w:color w:val="000000" w:themeColor="text1"/>
          <w:sz w:val="32"/>
          <w:szCs w:val="32"/>
          <w14:textFill>
            <w14:solidFill>
              <w14:schemeClr w14:val="tx1"/>
            </w14:solidFill>
          </w14:textFill>
        </w:rPr>
        <w:t>%</w:t>
      </w:r>
      <w:r>
        <w:rPr>
          <w:rFonts w:hint="eastAsia" w:ascii="仿宋" w:hAnsi="仿宋" w:eastAsia="仿宋"/>
          <w:color w:val="000000" w:themeColor="text1"/>
          <w:sz w:val="32"/>
          <w:szCs w:val="32"/>
          <w14:textFill>
            <w14:solidFill>
              <w14:schemeClr w14:val="tx1"/>
            </w14:solidFill>
          </w14:textFill>
        </w:rPr>
        <w:t>；</w:t>
      </w:r>
      <w:r>
        <w:rPr>
          <w:rFonts w:hint="eastAsia" w:ascii="仿宋" w:hAnsi="仿宋" w:eastAsia="仿宋"/>
          <w:b/>
          <w:bCs/>
          <w:color w:val="000000" w:themeColor="text1"/>
          <w:sz w:val="32"/>
          <w:szCs w:val="32"/>
          <w14:textFill>
            <w14:solidFill>
              <w14:schemeClr w14:val="tx1"/>
            </w14:solidFill>
          </w14:textFill>
        </w:rPr>
        <w:t>卫生健康支出</w:t>
      </w:r>
      <w:r>
        <w:rPr>
          <w:rFonts w:hint="eastAsia" w:ascii="仿宋" w:hAnsi="仿宋" w:eastAsia="仿宋"/>
          <w:color w:val="000000" w:themeColor="text1"/>
          <w:sz w:val="32"/>
          <w:szCs w:val="32"/>
          <w:lang w:val="en-US" w:eastAsia="zh-CN"/>
          <w14:textFill>
            <w14:solidFill>
              <w14:schemeClr w14:val="tx1"/>
            </w14:solidFill>
          </w14:textFill>
        </w:rPr>
        <w:t>18.11</w:t>
      </w:r>
      <w:r>
        <w:rPr>
          <w:rFonts w:hint="eastAsia" w:ascii="仿宋" w:hAnsi="仿宋" w:eastAsia="仿宋"/>
          <w:color w:val="000000" w:themeColor="text1"/>
          <w:sz w:val="32"/>
          <w:szCs w:val="32"/>
          <w14:textFill>
            <w14:solidFill>
              <w14:schemeClr w14:val="tx1"/>
            </w14:solidFill>
          </w14:textFill>
        </w:rPr>
        <w:t>万元，占</w:t>
      </w:r>
      <w:r>
        <w:rPr>
          <w:rFonts w:hint="eastAsia" w:ascii="仿宋" w:hAnsi="仿宋" w:eastAsia="仿宋"/>
          <w:color w:val="000000" w:themeColor="text1"/>
          <w:sz w:val="32"/>
          <w:szCs w:val="32"/>
          <w:lang w:val="en-US" w:eastAsia="zh-CN"/>
          <w14:textFill>
            <w14:solidFill>
              <w14:schemeClr w14:val="tx1"/>
            </w14:solidFill>
          </w14:textFill>
        </w:rPr>
        <w:t>0.43</w:t>
      </w:r>
      <w:r>
        <w:rPr>
          <w:rFonts w:ascii="仿宋" w:hAnsi="仿宋" w:eastAsia="仿宋"/>
          <w:color w:val="000000" w:themeColor="text1"/>
          <w:sz w:val="32"/>
          <w:szCs w:val="32"/>
          <w14:textFill>
            <w14:solidFill>
              <w14:schemeClr w14:val="tx1"/>
            </w14:solidFill>
          </w14:textFill>
        </w:rPr>
        <w:t>%</w:t>
      </w:r>
      <w:r>
        <w:rPr>
          <w:rFonts w:hint="eastAsia" w:ascii="仿宋" w:hAnsi="仿宋" w:eastAsia="仿宋"/>
          <w:color w:val="000000" w:themeColor="text1"/>
          <w:sz w:val="32"/>
          <w:szCs w:val="32"/>
          <w14:textFill>
            <w14:solidFill>
              <w14:schemeClr w14:val="tx1"/>
            </w14:solidFill>
          </w14:textFill>
        </w:rPr>
        <w:t>；</w:t>
      </w:r>
    </w:p>
    <w:p>
      <w:pPr>
        <w:spacing w:line="600" w:lineRule="exact"/>
        <w:ind w:firstLine="640" w:firstLineChars="200"/>
        <w:rPr>
          <w:rFonts w:ascii="仿宋" w:hAnsi="仿宋" w:eastAsia="仿宋"/>
          <w:color w:val="000000"/>
          <w:sz w:val="32"/>
          <w:szCs w:val="32"/>
        </w:rPr>
      </w:pPr>
      <w:r>
        <w:rPr>
          <w:rFonts w:hint="eastAsia" w:ascii="仿宋" w:hAnsi="仿宋" w:eastAsia="仿宋"/>
          <w:color w:val="000000"/>
          <w:sz w:val="32"/>
          <w:szCs w:val="32"/>
        </w:rPr>
        <w:t>（图6：一般公共预算财政拨款支出决算结构）（饼状图）</w:t>
      </w:r>
    </w:p>
    <w:p>
      <w:pPr>
        <w:spacing w:line="600" w:lineRule="exact"/>
        <w:ind w:firstLine="640" w:firstLineChars="200"/>
        <w:rPr>
          <w:rFonts w:ascii="仿宋" w:hAnsi="仿宋" w:eastAsia="仿宋"/>
          <w:color w:val="000000"/>
          <w:sz w:val="32"/>
          <w:szCs w:val="32"/>
        </w:rPr>
      </w:pPr>
    </w:p>
    <w:p>
      <w:pPr>
        <w:spacing w:line="600" w:lineRule="exact"/>
        <w:ind w:firstLine="640" w:firstLineChars="200"/>
        <w:rPr>
          <w:rFonts w:ascii="仿宋" w:hAnsi="仿宋" w:eastAsia="仿宋"/>
          <w:color w:val="000000"/>
          <w:sz w:val="32"/>
          <w:szCs w:val="32"/>
        </w:rPr>
      </w:pPr>
    </w:p>
    <w:p>
      <w:pPr>
        <w:spacing w:line="600" w:lineRule="exact"/>
        <w:ind w:firstLine="640" w:firstLineChars="200"/>
        <w:rPr>
          <w:rFonts w:ascii="仿宋" w:hAnsi="仿宋" w:eastAsia="仿宋"/>
          <w:color w:val="000000"/>
          <w:sz w:val="32"/>
          <w:szCs w:val="32"/>
        </w:rPr>
      </w:pPr>
    </w:p>
    <w:p>
      <w:pPr>
        <w:spacing w:line="600" w:lineRule="exact"/>
        <w:ind w:firstLine="640" w:firstLineChars="200"/>
        <w:rPr>
          <w:rFonts w:ascii="仿宋" w:hAnsi="仿宋" w:eastAsia="仿宋"/>
          <w:color w:val="000000"/>
          <w:sz w:val="32"/>
          <w:szCs w:val="32"/>
        </w:rPr>
      </w:pPr>
    </w:p>
    <w:p>
      <w:pPr>
        <w:spacing w:line="600" w:lineRule="exact"/>
        <w:ind w:firstLine="640" w:firstLineChars="200"/>
        <w:rPr>
          <w:rFonts w:ascii="仿宋" w:hAnsi="仿宋" w:eastAsia="仿宋"/>
          <w:color w:val="000000"/>
          <w:sz w:val="32"/>
          <w:szCs w:val="32"/>
        </w:rPr>
      </w:pPr>
    </w:p>
    <w:p>
      <w:pPr>
        <w:spacing w:line="600" w:lineRule="exact"/>
        <w:ind w:firstLine="640" w:firstLineChars="200"/>
        <w:rPr>
          <w:rFonts w:ascii="仿宋" w:hAnsi="仿宋" w:eastAsia="仿宋"/>
          <w:color w:val="000000"/>
          <w:sz w:val="32"/>
          <w:szCs w:val="32"/>
        </w:rPr>
      </w:pPr>
    </w:p>
    <w:p>
      <w:pPr>
        <w:spacing w:line="600" w:lineRule="exact"/>
        <w:ind w:firstLine="420" w:firstLineChars="200"/>
        <w:rPr>
          <w:rFonts w:ascii="仿宋" w:hAnsi="仿宋" w:eastAsia="仿宋"/>
          <w:color w:val="000000"/>
          <w:sz w:val="32"/>
          <w:szCs w:val="32"/>
        </w:rPr>
      </w:pPr>
      <w:r>
        <w:drawing>
          <wp:anchor distT="0" distB="0" distL="114300" distR="114300" simplePos="0" relativeHeight="251671552" behindDoc="0" locked="0" layoutInCell="1" allowOverlap="1">
            <wp:simplePos x="0" y="0"/>
            <wp:positionH relativeFrom="column">
              <wp:posOffset>518795</wp:posOffset>
            </wp:positionH>
            <wp:positionV relativeFrom="paragraph">
              <wp:posOffset>289560</wp:posOffset>
            </wp:positionV>
            <wp:extent cx="4572000" cy="2743200"/>
            <wp:effectExtent l="4445" t="4445" r="14605" b="14605"/>
            <wp:wrapSquare wrapText="bothSides"/>
            <wp:docPr id="4" name="图表 3"/>
            <wp:cNvGraphicFramePr/>
            <a:graphic xmlns:a="http://schemas.openxmlformats.org/drawingml/2006/main">
              <a:graphicData uri="http://schemas.openxmlformats.org/drawingml/2006/chart">
                <c:chart xmlns:c="http://schemas.openxmlformats.org/drawingml/2006/chart" xmlns:r="http://schemas.openxmlformats.org/officeDocument/2006/relationships" r:id="rId11"/>
              </a:graphicData>
            </a:graphic>
          </wp:anchor>
        </w:drawing>
      </w:r>
    </w:p>
    <w:p>
      <w:pPr>
        <w:spacing w:line="600" w:lineRule="exact"/>
        <w:ind w:firstLine="640" w:firstLineChars="200"/>
        <w:rPr>
          <w:rFonts w:ascii="仿宋" w:hAnsi="仿宋" w:eastAsia="仿宋"/>
          <w:color w:val="000000"/>
          <w:sz w:val="32"/>
          <w:szCs w:val="32"/>
        </w:rPr>
      </w:pPr>
    </w:p>
    <w:p>
      <w:pPr>
        <w:spacing w:line="600" w:lineRule="exact"/>
        <w:ind w:firstLine="640" w:firstLineChars="200"/>
        <w:rPr>
          <w:rFonts w:ascii="仿宋" w:hAnsi="仿宋" w:eastAsia="仿宋"/>
          <w:color w:val="000000"/>
          <w:sz w:val="32"/>
          <w:szCs w:val="32"/>
        </w:rPr>
      </w:pPr>
    </w:p>
    <w:p>
      <w:pPr>
        <w:spacing w:line="600" w:lineRule="exact"/>
        <w:ind w:firstLine="640" w:firstLineChars="200"/>
        <w:rPr>
          <w:rFonts w:ascii="仿宋" w:hAnsi="仿宋" w:eastAsia="仿宋"/>
          <w:color w:val="000000"/>
          <w:sz w:val="32"/>
          <w:szCs w:val="32"/>
        </w:rPr>
      </w:pPr>
    </w:p>
    <w:p>
      <w:pPr>
        <w:spacing w:line="600" w:lineRule="exact"/>
        <w:ind w:firstLine="640" w:firstLineChars="200"/>
        <w:rPr>
          <w:rFonts w:ascii="仿宋" w:hAnsi="仿宋" w:eastAsia="仿宋"/>
          <w:color w:val="000000"/>
          <w:sz w:val="32"/>
          <w:szCs w:val="32"/>
        </w:rPr>
      </w:pPr>
    </w:p>
    <w:p>
      <w:pPr>
        <w:spacing w:line="600" w:lineRule="exact"/>
        <w:ind w:firstLine="640" w:firstLineChars="200"/>
        <w:rPr>
          <w:rFonts w:ascii="仿宋" w:hAnsi="仿宋" w:eastAsia="仿宋"/>
          <w:color w:val="000000"/>
          <w:sz w:val="32"/>
          <w:szCs w:val="32"/>
        </w:rPr>
      </w:pPr>
    </w:p>
    <w:p>
      <w:pPr>
        <w:spacing w:line="600" w:lineRule="exact"/>
        <w:ind w:firstLine="640" w:firstLineChars="200"/>
        <w:rPr>
          <w:rFonts w:ascii="仿宋" w:hAnsi="仿宋" w:eastAsia="仿宋"/>
          <w:color w:val="000000"/>
          <w:sz w:val="32"/>
          <w:szCs w:val="32"/>
        </w:rPr>
      </w:pPr>
    </w:p>
    <w:p>
      <w:pPr>
        <w:spacing w:line="600" w:lineRule="exact"/>
        <w:ind w:firstLine="640" w:firstLineChars="200"/>
        <w:rPr>
          <w:rFonts w:ascii="仿宋" w:hAnsi="仿宋" w:eastAsia="仿宋"/>
          <w:color w:val="000000"/>
          <w:sz w:val="32"/>
          <w:szCs w:val="32"/>
        </w:rPr>
      </w:pPr>
    </w:p>
    <w:p>
      <w:pPr>
        <w:spacing w:line="600" w:lineRule="exact"/>
        <w:ind w:firstLine="642" w:firstLineChars="200"/>
        <w:outlineLvl w:val="2"/>
        <w:rPr>
          <w:rFonts w:ascii="仿宋" w:hAnsi="仿宋" w:eastAsia="仿宋"/>
          <w:b/>
          <w:color w:val="000000"/>
          <w:sz w:val="32"/>
          <w:szCs w:val="32"/>
        </w:rPr>
      </w:pPr>
      <w:bookmarkStart w:id="107" w:name="_Toc1763674126_WPSOffice_Level3"/>
      <w:bookmarkStart w:id="108" w:name="_Toc15377212"/>
      <w:r>
        <w:rPr>
          <w:rFonts w:hint="eastAsia" w:ascii="仿宋" w:hAnsi="仿宋" w:eastAsia="仿宋"/>
          <w:b/>
          <w:color w:val="000000"/>
          <w:sz w:val="32"/>
          <w:szCs w:val="32"/>
        </w:rPr>
        <w:t>（三）一般公共预算财政拨款支出决算具体情况</w:t>
      </w:r>
      <w:bookmarkEnd w:id="107"/>
      <w:bookmarkEnd w:id="108"/>
    </w:p>
    <w:p>
      <w:pPr>
        <w:spacing w:line="600" w:lineRule="exact"/>
        <w:ind w:firstLine="642" w:firstLineChars="200"/>
        <w:outlineLvl w:val="9"/>
        <w:rPr>
          <w:rFonts w:ascii="仿宋" w:hAnsi="仿宋" w:eastAsia="仿宋"/>
          <w:color w:val="FF0000"/>
          <w:sz w:val="32"/>
          <w:szCs w:val="32"/>
        </w:rPr>
      </w:pPr>
      <w:bookmarkStart w:id="109" w:name="_Toc15377213"/>
      <w:bookmarkStart w:id="110" w:name="_Toc15377444"/>
      <w:bookmarkStart w:id="111" w:name="_Toc15378460"/>
      <w:r>
        <w:rPr>
          <w:rFonts w:hint="eastAsia" w:ascii="仿宋" w:hAnsi="仿宋" w:eastAsia="仿宋"/>
          <w:b/>
          <w:color w:val="000000" w:themeColor="text1"/>
          <w:sz w:val="32"/>
          <w:szCs w:val="32"/>
          <w14:textFill>
            <w14:solidFill>
              <w14:schemeClr w14:val="tx1"/>
            </w14:solidFill>
          </w14:textFill>
        </w:rPr>
        <w:t>202</w:t>
      </w:r>
      <w:r>
        <w:rPr>
          <w:rFonts w:hint="eastAsia" w:ascii="仿宋" w:hAnsi="仿宋" w:eastAsia="仿宋"/>
          <w:b/>
          <w:color w:val="000000" w:themeColor="text1"/>
          <w:sz w:val="32"/>
          <w:szCs w:val="32"/>
          <w:lang w:val="en-US" w:eastAsia="zh-CN"/>
          <w14:textFill>
            <w14:solidFill>
              <w14:schemeClr w14:val="tx1"/>
            </w14:solidFill>
          </w14:textFill>
        </w:rPr>
        <w:t>1</w:t>
      </w:r>
      <w:r>
        <w:rPr>
          <w:rFonts w:hint="eastAsia" w:ascii="仿宋" w:hAnsi="仿宋" w:eastAsia="仿宋"/>
          <w:b/>
          <w:color w:val="000000" w:themeColor="text1"/>
          <w:sz w:val="32"/>
          <w:szCs w:val="32"/>
          <w14:textFill>
            <w14:solidFill>
              <w14:schemeClr w14:val="tx1"/>
            </w14:solidFill>
          </w14:textFill>
        </w:rPr>
        <w:t>年</w:t>
      </w:r>
      <w:r>
        <w:rPr>
          <w:rFonts w:hint="eastAsia" w:ascii="仿宋" w:hAnsi="仿宋" w:eastAsia="仿宋"/>
          <w:b/>
          <w:color w:val="000000" w:themeColor="text1"/>
          <w:sz w:val="32"/>
          <w:szCs w:val="32"/>
          <w:lang w:eastAsia="zh-CN"/>
          <w14:textFill>
            <w14:solidFill>
              <w14:schemeClr w14:val="tx1"/>
            </w14:solidFill>
          </w14:textFill>
        </w:rPr>
        <w:t>一</w:t>
      </w:r>
      <w:r>
        <w:rPr>
          <w:rFonts w:hint="eastAsia" w:ascii="仿宋" w:hAnsi="仿宋" w:eastAsia="仿宋"/>
          <w:b/>
          <w:color w:val="000000" w:themeColor="text1"/>
          <w:sz w:val="32"/>
          <w:szCs w:val="32"/>
          <w14:textFill>
            <w14:solidFill>
              <w14:schemeClr w14:val="tx1"/>
            </w14:solidFill>
          </w14:textFill>
        </w:rPr>
        <w:t>般公共预算支出决算数为</w:t>
      </w:r>
      <w:r>
        <w:rPr>
          <w:rFonts w:hint="eastAsia" w:ascii="仿宋" w:hAnsi="仿宋" w:eastAsia="仿宋"/>
          <w:b/>
          <w:color w:val="000000" w:themeColor="text1"/>
          <w:sz w:val="32"/>
          <w:szCs w:val="32"/>
          <w:lang w:val="en-US" w:eastAsia="zh-CN"/>
          <w14:textFill>
            <w14:solidFill>
              <w14:schemeClr w14:val="tx1"/>
            </w14:solidFill>
          </w14:textFill>
        </w:rPr>
        <w:t>4215.25万元</w:t>
      </w:r>
      <w:r>
        <w:rPr>
          <w:rFonts w:hint="eastAsia" w:ascii="仿宋" w:hAnsi="仿宋" w:eastAsia="仿宋"/>
          <w:color w:val="000000" w:themeColor="text1"/>
          <w:sz w:val="32"/>
          <w:szCs w:val="32"/>
          <w14:textFill>
            <w14:solidFill>
              <w14:schemeClr w14:val="tx1"/>
            </w14:solidFill>
          </w14:textFill>
        </w:rPr>
        <w:t>，</w:t>
      </w:r>
      <w:r>
        <w:rPr>
          <w:rStyle w:val="15"/>
          <w:rFonts w:hint="eastAsia" w:ascii="仿宋" w:hAnsi="仿宋" w:eastAsia="仿宋"/>
          <w:bCs/>
          <w:color w:val="000000" w:themeColor="text1"/>
          <w:sz w:val="32"/>
          <w:szCs w:val="32"/>
          <w14:textFill>
            <w14:solidFill>
              <w14:schemeClr w14:val="tx1"/>
            </w14:solidFill>
          </w14:textFill>
        </w:rPr>
        <w:t>完成</w:t>
      </w:r>
      <w:r>
        <w:rPr>
          <w:rStyle w:val="15"/>
          <w:rFonts w:hint="eastAsia" w:ascii="仿宋" w:hAnsi="仿宋" w:eastAsia="仿宋"/>
          <w:bCs/>
          <w:color w:val="000000"/>
          <w:sz w:val="32"/>
          <w:szCs w:val="32"/>
        </w:rPr>
        <w:t>预算</w:t>
      </w:r>
      <w:r>
        <w:rPr>
          <w:rStyle w:val="15"/>
          <w:rFonts w:hint="eastAsia" w:ascii="仿宋" w:hAnsi="仿宋" w:eastAsia="仿宋"/>
          <w:bCs/>
          <w:color w:val="000000"/>
          <w:sz w:val="32"/>
          <w:szCs w:val="32"/>
          <w:lang w:val="en-US" w:eastAsia="zh-CN"/>
        </w:rPr>
        <w:t>100</w:t>
      </w:r>
      <w:r>
        <w:rPr>
          <w:rStyle w:val="15"/>
          <w:rFonts w:ascii="仿宋" w:hAnsi="仿宋" w:eastAsia="仿宋"/>
          <w:bCs/>
          <w:color w:val="000000"/>
          <w:sz w:val="32"/>
          <w:szCs w:val="32"/>
        </w:rPr>
        <w:t>%</w:t>
      </w:r>
      <w:r>
        <w:rPr>
          <w:rStyle w:val="15"/>
          <w:rFonts w:hint="eastAsia" w:ascii="仿宋" w:hAnsi="仿宋" w:eastAsia="仿宋"/>
          <w:bCs/>
          <w:color w:val="000000"/>
          <w:sz w:val="32"/>
          <w:szCs w:val="32"/>
        </w:rPr>
        <w:t>。其中：</w:t>
      </w:r>
      <w:bookmarkEnd w:id="109"/>
      <w:bookmarkEnd w:id="110"/>
      <w:bookmarkEnd w:id="111"/>
    </w:p>
    <w:p>
      <w:pPr>
        <w:spacing w:line="600" w:lineRule="exact"/>
        <w:ind w:firstLine="640" w:firstLineChars="200"/>
        <w:rPr>
          <w:rStyle w:val="15"/>
          <w:rFonts w:hint="eastAsia" w:ascii="仿宋" w:hAnsi="仿宋" w:eastAsia="仿宋"/>
          <w:b w:val="0"/>
          <w:bCs/>
          <w:color w:val="000000"/>
          <w:sz w:val="32"/>
          <w:szCs w:val="32"/>
        </w:rPr>
      </w:pPr>
      <w:r>
        <w:rPr>
          <w:rStyle w:val="15"/>
          <w:rFonts w:hint="eastAsia" w:ascii="仿宋" w:hAnsi="仿宋" w:eastAsia="仿宋"/>
          <w:b w:val="0"/>
          <w:bCs/>
          <w:color w:val="000000"/>
          <w:sz w:val="32"/>
          <w:szCs w:val="32"/>
          <w:lang w:val="en-US" w:eastAsia="zh-CN"/>
        </w:rPr>
        <w:t>1</w:t>
      </w:r>
      <w:r>
        <w:rPr>
          <w:rStyle w:val="15"/>
          <w:rFonts w:hint="eastAsia" w:ascii="仿宋" w:hAnsi="仿宋" w:eastAsia="仿宋"/>
          <w:b w:val="0"/>
          <w:bCs/>
          <w:color w:val="000000"/>
          <w:sz w:val="32"/>
          <w:szCs w:val="32"/>
        </w:rPr>
        <w:t>.教育（类）进修及培训（款）干部教育（项）: 支出决算为</w:t>
      </w:r>
      <w:r>
        <w:rPr>
          <w:rStyle w:val="15"/>
          <w:rFonts w:hint="eastAsia" w:ascii="仿宋" w:hAnsi="仿宋" w:eastAsia="仿宋"/>
          <w:b w:val="0"/>
          <w:bCs/>
          <w:color w:val="000000"/>
          <w:sz w:val="32"/>
          <w:szCs w:val="32"/>
          <w:lang w:val="en-US" w:eastAsia="zh-CN"/>
        </w:rPr>
        <w:t>4143.89</w:t>
      </w:r>
      <w:r>
        <w:rPr>
          <w:rStyle w:val="15"/>
          <w:rFonts w:hint="eastAsia" w:ascii="仿宋" w:hAnsi="仿宋" w:eastAsia="仿宋"/>
          <w:b w:val="0"/>
          <w:bCs/>
          <w:color w:val="000000"/>
          <w:sz w:val="32"/>
          <w:szCs w:val="32"/>
        </w:rPr>
        <w:t>万元，完成预算</w:t>
      </w:r>
      <w:r>
        <w:rPr>
          <w:rStyle w:val="15"/>
          <w:rFonts w:hint="eastAsia" w:ascii="仿宋" w:hAnsi="仿宋" w:eastAsia="仿宋"/>
          <w:b w:val="0"/>
          <w:bCs/>
          <w:color w:val="000000"/>
          <w:sz w:val="32"/>
          <w:szCs w:val="32"/>
          <w:lang w:val="en-US" w:eastAsia="zh-CN"/>
        </w:rPr>
        <w:t>100</w:t>
      </w:r>
      <w:r>
        <w:rPr>
          <w:rStyle w:val="15"/>
          <w:rFonts w:hint="eastAsia" w:ascii="仿宋" w:hAnsi="仿宋" w:eastAsia="仿宋"/>
          <w:b w:val="0"/>
          <w:bCs/>
          <w:color w:val="000000"/>
          <w:sz w:val="32"/>
          <w:szCs w:val="32"/>
        </w:rPr>
        <w:t>%，决算数等于预算数。</w:t>
      </w:r>
    </w:p>
    <w:p>
      <w:pPr>
        <w:spacing w:line="600" w:lineRule="exact"/>
        <w:ind w:firstLine="640" w:firstLineChars="200"/>
        <w:rPr>
          <w:rStyle w:val="15"/>
          <w:rFonts w:hint="eastAsia" w:ascii="仿宋" w:hAnsi="仿宋" w:eastAsia="仿宋"/>
          <w:b w:val="0"/>
          <w:bCs/>
          <w:color w:val="000000"/>
          <w:sz w:val="32"/>
          <w:szCs w:val="32"/>
        </w:rPr>
      </w:pPr>
      <w:r>
        <w:rPr>
          <w:rStyle w:val="15"/>
          <w:rFonts w:hint="eastAsia" w:ascii="仿宋" w:hAnsi="仿宋" w:eastAsia="仿宋"/>
          <w:b w:val="0"/>
          <w:bCs/>
          <w:color w:val="000000"/>
          <w:sz w:val="32"/>
          <w:szCs w:val="32"/>
          <w:lang w:val="en-US" w:eastAsia="zh-CN"/>
        </w:rPr>
        <w:t>2</w:t>
      </w:r>
      <w:r>
        <w:rPr>
          <w:rStyle w:val="15"/>
          <w:rFonts w:hint="eastAsia" w:ascii="仿宋" w:hAnsi="仿宋" w:eastAsia="仿宋"/>
          <w:b w:val="0"/>
          <w:bCs/>
          <w:color w:val="000000"/>
          <w:sz w:val="32"/>
          <w:szCs w:val="32"/>
        </w:rPr>
        <w:t>.社会保障和就业（类）行政事业单位养老支出（款）机关事业单位基本养老保险缴费支出（项）: 支出决算为</w:t>
      </w:r>
      <w:r>
        <w:rPr>
          <w:rStyle w:val="15"/>
          <w:rFonts w:hint="eastAsia" w:ascii="仿宋" w:hAnsi="仿宋" w:eastAsia="仿宋"/>
          <w:b w:val="0"/>
          <w:bCs/>
          <w:color w:val="000000"/>
          <w:sz w:val="32"/>
          <w:szCs w:val="32"/>
          <w:lang w:val="en-US" w:eastAsia="zh-CN"/>
        </w:rPr>
        <w:t>44.96</w:t>
      </w:r>
      <w:r>
        <w:rPr>
          <w:rStyle w:val="15"/>
          <w:rFonts w:hint="eastAsia" w:ascii="仿宋" w:hAnsi="仿宋" w:eastAsia="仿宋"/>
          <w:b w:val="0"/>
          <w:bCs/>
          <w:color w:val="000000"/>
          <w:sz w:val="32"/>
          <w:szCs w:val="32"/>
        </w:rPr>
        <w:t>万元，完成预算100%，决算数等于预算数。</w:t>
      </w:r>
    </w:p>
    <w:p>
      <w:pPr>
        <w:spacing w:line="600" w:lineRule="exact"/>
        <w:ind w:firstLine="640" w:firstLineChars="200"/>
        <w:rPr>
          <w:rStyle w:val="15"/>
          <w:rFonts w:hint="eastAsia" w:ascii="仿宋" w:hAnsi="仿宋" w:eastAsia="仿宋"/>
          <w:b w:val="0"/>
          <w:bCs/>
          <w:color w:val="000000"/>
          <w:sz w:val="32"/>
          <w:szCs w:val="32"/>
        </w:rPr>
      </w:pPr>
      <w:r>
        <w:rPr>
          <w:rStyle w:val="15"/>
          <w:rFonts w:hint="eastAsia" w:ascii="仿宋" w:hAnsi="仿宋" w:eastAsia="仿宋"/>
          <w:b w:val="0"/>
          <w:bCs/>
          <w:color w:val="000000"/>
          <w:sz w:val="32"/>
          <w:szCs w:val="32"/>
          <w:lang w:val="en-US" w:eastAsia="zh-CN"/>
        </w:rPr>
        <w:t>3.</w:t>
      </w:r>
      <w:r>
        <w:rPr>
          <w:rStyle w:val="15"/>
          <w:rFonts w:hint="eastAsia" w:ascii="仿宋" w:hAnsi="仿宋" w:eastAsia="仿宋"/>
          <w:b w:val="0"/>
          <w:bCs/>
          <w:color w:val="000000"/>
          <w:sz w:val="32"/>
          <w:szCs w:val="32"/>
        </w:rPr>
        <w:t>社会保障和就业（类）行政事业单位养老支出（款） 行政单位离退休（项）: 支出决算为</w:t>
      </w:r>
      <w:r>
        <w:rPr>
          <w:rStyle w:val="15"/>
          <w:rFonts w:hint="eastAsia" w:ascii="仿宋" w:hAnsi="仿宋" w:eastAsia="仿宋"/>
          <w:b w:val="0"/>
          <w:bCs/>
          <w:color w:val="000000"/>
          <w:sz w:val="32"/>
          <w:szCs w:val="32"/>
          <w:lang w:val="en-US" w:eastAsia="zh-CN"/>
        </w:rPr>
        <w:t>8.29</w:t>
      </w:r>
      <w:r>
        <w:rPr>
          <w:rStyle w:val="15"/>
          <w:rFonts w:hint="eastAsia" w:ascii="仿宋" w:hAnsi="仿宋" w:eastAsia="仿宋"/>
          <w:b w:val="0"/>
          <w:bCs/>
          <w:color w:val="000000"/>
          <w:sz w:val="32"/>
          <w:szCs w:val="32"/>
        </w:rPr>
        <w:t>万元，完成预算100%，决算数等于预算数。</w:t>
      </w:r>
    </w:p>
    <w:p>
      <w:pPr>
        <w:spacing w:line="600" w:lineRule="exact"/>
        <w:ind w:firstLine="640" w:firstLineChars="200"/>
        <w:rPr>
          <w:rFonts w:ascii="仿宋" w:hAnsi="仿宋" w:eastAsia="仿宋"/>
          <w:b/>
          <w:color w:val="000000"/>
          <w:sz w:val="32"/>
          <w:szCs w:val="32"/>
        </w:rPr>
      </w:pPr>
      <w:r>
        <w:rPr>
          <w:rStyle w:val="15"/>
          <w:rFonts w:hint="eastAsia" w:ascii="仿宋" w:hAnsi="仿宋" w:eastAsia="仿宋"/>
          <w:b w:val="0"/>
          <w:bCs/>
          <w:color w:val="000000"/>
          <w:sz w:val="32"/>
          <w:szCs w:val="32"/>
          <w:lang w:val="en-US" w:eastAsia="zh-CN"/>
        </w:rPr>
        <w:t>4</w:t>
      </w:r>
      <w:r>
        <w:rPr>
          <w:rStyle w:val="15"/>
          <w:rFonts w:hint="eastAsia" w:ascii="仿宋" w:hAnsi="仿宋" w:eastAsia="仿宋"/>
          <w:b w:val="0"/>
          <w:bCs/>
          <w:color w:val="000000"/>
          <w:sz w:val="32"/>
          <w:szCs w:val="32"/>
        </w:rPr>
        <w:t>.卫生健康（类）行政事业单位医疗（款）行政单位医疗（项）: 支出决算为1</w:t>
      </w:r>
      <w:r>
        <w:rPr>
          <w:rStyle w:val="15"/>
          <w:rFonts w:hint="eastAsia" w:ascii="仿宋" w:hAnsi="仿宋" w:eastAsia="仿宋"/>
          <w:b w:val="0"/>
          <w:bCs/>
          <w:color w:val="000000"/>
          <w:sz w:val="32"/>
          <w:szCs w:val="32"/>
          <w:lang w:val="en-US" w:eastAsia="zh-CN"/>
        </w:rPr>
        <w:t>8.11</w:t>
      </w:r>
      <w:r>
        <w:rPr>
          <w:rStyle w:val="15"/>
          <w:rFonts w:hint="eastAsia" w:ascii="仿宋" w:hAnsi="仿宋" w:eastAsia="仿宋"/>
          <w:b w:val="0"/>
          <w:bCs/>
          <w:color w:val="000000"/>
          <w:sz w:val="32"/>
          <w:szCs w:val="32"/>
        </w:rPr>
        <w:t>万元，完成预算100%，决算数等于预算数。</w:t>
      </w:r>
    </w:p>
    <w:p>
      <w:pPr>
        <w:tabs>
          <w:tab w:val="right" w:pos="8306"/>
        </w:tabs>
        <w:spacing w:line="600" w:lineRule="exact"/>
        <w:ind w:firstLine="640"/>
        <w:outlineLvl w:val="1"/>
        <w:rPr>
          <w:rStyle w:val="26"/>
        </w:rPr>
      </w:pPr>
      <w:bookmarkStart w:id="112" w:name="_Toc15377214"/>
      <w:bookmarkStart w:id="113" w:name="_Toc15396608"/>
      <w:bookmarkStart w:id="114" w:name="_Toc420866798_WPSOffice_Level2"/>
      <w:r>
        <w:rPr>
          <w:rFonts w:hint="eastAsia" w:ascii="黑体" w:eastAsia="黑体"/>
          <w:color w:val="000000"/>
          <w:sz w:val="32"/>
          <w:szCs w:val="32"/>
        </w:rPr>
        <w:t>六</w:t>
      </w:r>
      <w:r>
        <w:rPr>
          <w:rFonts w:hint="eastAsia" w:ascii="黑体" w:eastAsia="黑体"/>
          <w:b/>
          <w:color w:val="000000"/>
          <w:sz w:val="32"/>
          <w:szCs w:val="32"/>
        </w:rPr>
        <w:t>、</w:t>
      </w:r>
      <w:r>
        <w:rPr>
          <w:rFonts w:hint="eastAsia" w:ascii="黑体" w:hAnsi="黑体" w:eastAsia="黑体"/>
          <w:b/>
          <w:color w:val="000000"/>
          <w:sz w:val="32"/>
          <w:szCs w:val="32"/>
        </w:rPr>
        <w:t>一</w:t>
      </w:r>
      <w:r>
        <w:rPr>
          <w:rStyle w:val="26"/>
          <w:rFonts w:hint="eastAsia" w:ascii="黑体" w:hAnsi="黑体" w:eastAsia="黑体"/>
          <w:b w:val="0"/>
        </w:rPr>
        <w:t>般公共预算财政拨款基本支出决算情况说明</w:t>
      </w:r>
      <w:bookmarkEnd w:id="112"/>
      <w:bookmarkEnd w:id="113"/>
      <w:bookmarkEnd w:id="114"/>
      <w:r>
        <w:rPr>
          <w:rStyle w:val="26"/>
          <w:rFonts w:ascii="黑体" w:hAnsi="黑体" w:eastAsia="黑体"/>
          <w:b w:val="0"/>
        </w:rPr>
        <w:tab/>
      </w:r>
    </w:p>
    <w:p>
      <w:pPr>
        <w:spacing w:line="600" w:lineRule="exact"/>
        <w:ind w:firstLine="645"/>
        <w:rPr>
          <w:rFonts w:ascii="仿宋" w:hAnsi="仿宋" w:eastAsia="仿宋"/>
          <w:color w:val="000000"/>
          <w:sz w:val="32"/>
          <w:szCs w:val="32"/>
        </w:rPr>
      </w:pPr>
      <w:r>
        <w:rPr>
          <w:rFonts w:ascii="仿宋" w:hAnsi="仿宋" w:eastAsia="仿宋"/>
          <w:color w:val="000000"/>
          <w:sz w:val="32"/>
          <w:szCs w:val="32"/>
        </w:rPr>
        <w:t>20</w:t>
      </w:r>
      <w:r>
        <w:rPr>
          <w:rFonts w:hint="eastAsia" w:ascii="仿宋" w:hAnsi="仿宋" w:eastAsia="仿宋"/>
          <w:color w:val="000000"/>
          <w:sz w:val="32"/>
          <w:szCs w:val="32"/>
        </w:rPr>
        <w:t>2</w:t>
      </w:r>
      <w:r>
        <w:rPr>
          <w:rFonts w:hint="eastAsia" w:ascii="仿宋" w:hAnsi="仿宋" w:eastAsia="仿宋"/>
          <w:color w:val="000000"/>
          <w:sz w:val="32"/>
          <w:szCs w:val="32"/>
          <w:lang w:val="en-US" w:eastAsia="zh-CN"/>
        </w:rPr>
        <w:t>1</w:t>
      </w:r>
      <w:r>
        <w:rPr>
          <w:rFonts w:hint="eastAsia" w:ascii="仿宋" w:hAnsi="仿宋" w:eastAsia="仿宋"/>
          <w:color w:val="000000"/>
          <w:sz w:val="32"/>
          <w:szCs w:val="32"/>
        </w:rPr>
        <w:t>年一般公共预算财政拨款基本支出4215.25万元，其中：</w:t>
      </w:r>
    </w:p>
    <w:p>
      <w:pPr>
        <w:spacing w:line="600" w:lineRule="exact"/>
        <w:ind w:firstLine="645"/>
        <w:rPr>
          <w:rFonts w:ascii="仿宋" w:hAnsi="仿宋" w:eastAsia="仿宋"/>
          <w:color w:val="000000"/>
          <w:sz w:val="32"/>
          <w:szCs w:val="32"/>
        </w:rPr>
      </w:pPr>
      <w:r>
        <w:rPr>
          <w:rFonts w:hint="eastAsia" w:ascii="仿宋" w:hAnsi="仿宋" w:eastAsia="仿宋"/>
          <w:color w:val="000000"/>
          <w:sz w:val="32"/>
          <w:szCs w:val="32"/>
        </w:rPr>
        <w:t>人员经费</w:t>
      </w:r>
      <w:r>
        <w:rPr>
          <w:rFonts w:hint="eastAsia" w:ascii="仿宋" w:hAnsi="仿宋" w:eastAsia="仿宋"/>
          <w:color w:val="000000"/>
          <w:sz w:val="32"/>
          <w:szCs w:val="32"/>
          <w:lang w:val="en-US" w:eastAsia="zh-CN"/>
        </w:rPr>
        <w:t>511.31</w:t>
      </w:r>
      <w:r>
        <w:rPr>
          <w:rFonts w:hint="eastAsia" w:ascii="仿宋" w:hAnsi="仿宋" w:eastAsia="仿宋"/>
          <w:color w:val="000000"/>
          <w:sz w:val="32"/>
          <w:szCs w:val="32"/>
        </w:rPr>
        <w:t>万元，主要包括：基本工资、津贴补贴、奖金、伙食补助费、绩效工资、机关事业单位基本养老保险缴费、职业年金缴费、其他社会保障缴费、其他工资福利支出、离休费、退休费、抚恤金、生活补助、医疗费补助、奖励金、住房公积金、其他对个人和家庭的补助支出等。</w:t>
      </w:r>
      <w:r>
        <w:rPr>
          <w:rFonts w:ascii="仿宋" w:hAnsi="仿宋" w:eastAsia="仿宋"/>
          <w:color w:val="000000"/>
          <w:sz w:val="32"/>
          <w:szCs w:val="32"/>
        </w:rPr>
        <w:br w:type="textWrapping"/>
      </w:r>
      <w:r>
        <w:rPr>
          <w:rFonts w:hint="eastAsia" w:ascii="仿宋" w:hAnsi="仿宋" w:eastAsia="仿宋"/>
          <w:color w:val="000000"/>
          <w:sz w:val="32"/>
          <w:szCs w:val="32"/>
        </w:rPr>
        <w:t>　　日常公用经费</w:t>
      </w:r>
      <w:r>
        <w:rPr>
          <w:rFonts w:hint="eastAsia" w:ascii="仿宋" w:hAnsi="仿宋" w:eastAsia="仿宋"/>
          <w:color w:val="000000"/>
          <w:sz w:val="32"/>
          <w:szCs w:val="32"/>
          <w:lang w:val="en-US" w:eastAsia="zh-CN"/>
        </w:rPr>
        <w:t>3703.94</w:t>
      </w:r>
      <w:r>
        <w:rPr>
          <w:rFonts w:hint="eastAsia" w:ascii="仿宋" w:hAnsi="仿宋" w:eastAsia="仿宋"/>
          <w:color w:val="000000"/>
          <w:sz w:val="32"/>
          <w:szCs w:val="32"/>
        </w:rPr>
        <w:t>万元，主要包括：办公费、印刷费、咨询费、手续费、水费、电费、邮电费、取暖费、物业管理费、差旅费、因公出国（境）费用、维修（护）费、租赁费、会议费、培训费、公务接待费、劳务费、委托业务费、工会经费、福利费、公务用车运行维护费、其他交通费、税金及附加费用、其他商品和服务支出、办公设备购置、专用设备购置、信息网络及软件购置更新、其他资本性支出等。</w:t>
      </w:r>
    </w:p>
    <w:p>
      <w:pPr>
        <w:numPr>
          <w:ilvl w:val="0"/>
          <w:numId w:val="2"/>
        </w:numPr>
        <w:spacing w:line="600" w:lineRule="exact"/>
        <w:ind w:firstLine="640"/>
        <w:outlineLvl w:val="1"/>
        <w:rPr>
          <w:rStyle w:val="26"/>
          <w:rFonts w:hint="eastAsia" w:ascii="黑体" w:hAnsi="黑体" w:eastAsia="黑体"/>
          <w:b w:val="0"/>
          <w:bCs/>
        </w:rPr>
      </w:pPr>
      <w:bookmarkStart w:id="115" w:name="_Toc187644787_WPSOffice_Level2"/>
      <w:r>
        <w:rPr>
          <w:rFonts w:hint="eastAsia" w:ascii="黑体" w:hAnsi="黑体" w:eastAsia="黑体"/>
          <w:b w:val="0"/>
          <w:bCs/>
          <w:color w:val="000000"/>
          <w:sz w:val="32"/>
          <w:szCs w:val="32"/>
        </w:rPr>
        <w:t>一</w:t>
      </w:r>
      <w:r>
        <w:rPr>
          <w:rStyle w:val="26"/>
          <w:rFonts w:hint="eastAsia" w:ascii="黑体" w:hAnsi="黑体" w:eastAsia="黑体"/>
          <w:b w:val="0"/>
          <w:bCs/>
        </w:rPr>
        <w:t>般公共预算财政拨款</w:t>
      </w:r>
      <w:r>
        <w:rPr>
          <w:rStyle w:val="26"/>
          <w:rFonts w:hint="eastAsia" w:ascii="黑体" w:hAnsi="黑体" w:eastAsia="黑体"/>
          <w:b w:val="0"/>
          <w:bCs/>
          <w:lang w:eastAsia="zh-CN"/>
        </w:rPr>
        <w:t>项目</w:t>
      </w:r>
      <w:r>
        <w:rPr>
          <w:rStyle w:val="26"/>
          <w:rFonts w:hint="eastAsia" w:ascii="黑体" w:hAnsi="黑体" w:eastAsia="黑体"/>
          <w:b w:val="0"/>
          <w:bCs/>
        </w:rPr>
        <w:t>支出决算情况说明</w:t>
      </w:r>
      <w:bookmarkEnd w:id="115"/>
    </w:p>
    <w:p>
      <w:pPr>
        <w:spacing w:line="600" w:lineRule="exact"/>
        <w:ind w:firstLine="645"/>
        <w:rPr>
          <w:rFonts w:ascii="仿宋" w:hAnsi="仿宋" w:eastAsia="仿宋"/>
          <w:color w:val="000000"/>
          <w:sz w:val="32"/>
          <w:szCs w:val="32"/>
        </w:rPr>
      </w:pPr>
      <w:r>
        <w:rPr>
          <w:rFonts w:ascii="仿宋" w:hAnsi="仿宋" w:eastAsia="仿宋"/>
          <w:color w:val="000000"/>
          <w:sz w:val="32"/>
          <w:szCs w:val="32"/>
        </w:rPr>
        <w:t>20</w:t>
      </w:r>
      <w:r>
        <w:rPr>
          <w:rFonts w:hint="eastAsia" w:ascii="仿宋" w:hAnsi="仿宋" w:eastAsia="仿宋"/>
          <w:color w:val="000000"/>
          <w:sz w:val="32"/>
          <w:szCs w:val="32"/>
        </w:rPr>
        <w:t>2</w:t>
      </w:r>
      <w:r>
        <w:rPr>
          <w:rFonts w:hint="eastAsia" w:ascii="仿宋" w:hAnsi="仿宋" w:eastAsia="仿宋"/>
          <w:color w:val="000000"/>
          <w:sz w:val="32"/>
          <w:szCs w:val="32"/>
          <w:lang w:val="en-US" w:eastAsia="zh-CN"/>
        </w:rPr>
        <w:t>1</w:t>
      </w:r>
      <w:r>
        <w:rPr>
          <w:rFonts w:hint="eastAsia" w:ascii="仿宋" w:hAnsi="仿宋" w:eastAsia="仿宋"/>
          <w:color w:val="000000"/>
          <w:sz w:val="32"/>
          <w:szCs w:val="32"/>
        </w:rPr>
        <w:t>年一般公共预算财政拨款</w:t>
      </w:r>
      <w:r>
        <w:rPr>
          <w:rFonts w:hint="eastAsia" w:ascii="仿宋" w:hAnsi="仿宋" w:eastAsia="仿宋"/>
          <w:color w:val="000000"/>
          <w:sz w:val="32"/>
          <w:szCs w:val="32"/>
          <w:lang w:eastAsia="zh-CN"/>
        </w:rPr>
        <w:t>项目</w:t>
      </w:r>
      <w:r>
        <w:rPr>
          <w:rFonts w:hint="eastAsia" w:ascii="仿宋" w:hAnsi="仿宋" w:eastAsia="仿宋"/>
          <w:color w:val="000000"/>
          <w:sz w:val="32"/>
          <w:szCs w:val="32"/>
        </w:rPr>
        <w:t>支出</w:t>
      </w:r>
      <w:r>
        <w:rPr>
          <w:rFonts w:hint="eastAsia" w:ascii="仿宋" w:hAnsi="仿宋" w:eastAsia="仿宋"/>
          <w:color w:val="000000"/>
          <w:sz w:val="32"/>
          <w:szCs w:val="32"/>
          <w:lang w:val="en-US" w:eastAsia="zh-CN"/>
        </w:rPr>
        <w:t>0</w:t>
      </w:r>
      <w:r>
        <w:rPr>
          <w:rFonts w:hint="eastAsia" w:ascii="仿宋" w:hAnsi="仿宋" w:eastAsia="仿宋"/>
          <w:color w:val="000000"/>
          <w:sz w:val="32"/>
          <w:szCs w:val="32"/>
        </w:rPr>
        <w:t>万元，其中：</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textAlignment w:val="auto"/>
        <w:outlineLvl w:val="9"/>
        <w:rPr>
          <w:rFonts w:hint="eastAsia" w:ascii="仿宋" w:hAnsi="仿宋" w:eastAsia="仿宋"/>
          <w:color w:val="000000"/>
          <w:sz w:val="32"/>
          <w:szCs w:val="32"/>
          <w:lang w:val="en-US" w:eastAsia="zh-CN"/>
        </w:rPr>
      </w:pPr>
      <w:r>
        <w:rPr>
          <w:rFonts w:hint="eastAsia" w:ascii="仿宋_GB2312" w:hAnsi="仿宋_GB2312" w:eastAsia="仿宋_GB2312" w:cs="仿宋_GB2312"/>
          <w:sz w:val="32"/>
          <w:szCs w:val="32"/>
        </w:rPr>
        <w:t>项目</w:t>
      </w:r>
      <w:r>
        <w:rPr>
          <w:rFonts w:hint="eastAsia" w:ascii="仿宋_GB2312" w:hAnsi="仿宋_GB2312" w:eastAsia="仿宋_GB2312" w:cs="仿宋_GB2312"/>
          <w:sz w:val="32"/>
          <w:szCs w:val="32"/>
          <w:lang w:eastAsia="zh-CN"/>
        </w:rPr>
        <w:t>支出</w:t>
      </w:r>
      <w:r>
        <w:rPr>
          <w:rFonts w:hint="eastAsia" w:ascii="仿宋" w:hAnsi="仿宋" w:eastAsia="仿宋"/>
          <w:color w:val="000000"/>
          <w:sz w:val="32"/>
          <w:szCs w:val="32"/>
          <w:lang w:val="en-US" w:eastAsia="zh-CN"/>
        </w:rPr>
        <w:t>0</w:t>
      </w:r>
      <w:r>
        <w:rPr>
          <w:rFonts w:hint="eastAsia" w:ascii="仿宋" w:hAnsi="仿宋" w:eastAsia="仿宋"/>
          <w:color w:val="000000"/>
          <w:sz w:val="32"/>
          <w:szCs w:val="32"/>
        </w:rPr>
        <w:t>万元</w:t>
      </w:r>
      <w:r>
        <w:rPr>
          <w:rFonts w:hint="eastAsia" w:ascii="仿宋" w:hAnsi="仿宋" w:eastAsia="仿宋"/>
          <w:color w:val="000000"/>
          <w:sz w:val="32"/>
          <w:szCs w:val="32"/>
          <w:lang w:eastAsia="zh-CN"/>
        </w:rPr>
        <w:t>，主要用于：项目人员支出</w:t>
      </w:r>
      <w:r>
        <w:rPr>
          <w:rFonts w:hint="eastAsia" w:ascii="仿宋" w:hAnsi="仿宋" w:eastAsia="仿宋"/>
          <w:color w:val="000000"/>
          <w:sz w:val="32"/>
          <w:szCs w:val="32"/>
          <w:lang w:val="en-US" w:eastAsia="zh-CN"/>
        </w:rPr>
        <w:t>0</w:t>
      </w:r>
      <w:r>
        <w:rPr>
          <w:rFonts w:hint="eastAsia" w:ascii="仿宋" w:hAnsi="仿宋" w:eastAsia="仿宋"/>
          <w:color w:val="000000"/>
          <w:sz w:val="32"/>
          <w:szCs w:val="32"/>
        </w:rPr>
        <w:t>万元</w:t>
      </w:r>
      <w:r>
        <w:rPr>
          <w:rFonts w:hint="eastAsia" w:ascii="仿宋" w:hAnsi="仿宋" w:eastAsia="仿宋"/>
          <w:color w:val="000000"/>
          <w:sz w:val="32"/>
          <w:szCs w:val="32"/>
          <w:lang w:eastAsia="zh-CN"/>
        </w:rPr>
        <w:t>，包括</w:t>
      </w:r>
      <w:r>
        <w:rPr>
          <w:rFonts w:hint="eastAsia" w:ascii="仿宋" w:hAnsi="仿宋" w:eastAsia="仿宋"/>
          <w:color w:val="000000"/>
          <w:sz w:val="32"/>
          <w:szCs w:val="32"/>
        </w:rPr>
        <w:t>基本工资、津贴补贴、奖金、伙食补助费、绩效工资、机关事业单位基本养老保险缴费、职业年金缴费、其他社会保障缴费、其他工资福利支出、离休费、退休费、抚恤金、生活补助、医疗费补助、奖励金、住房公积金、其他对个人和家庭的补助支出等</w:t>
      </w:r>
      <w:r>
        <w:rPr>
          <w:rFonts w:hint="eastAsia" w:ascii="仿宋" w:hAnsi="仿宋" w:eastAsia="仿宋"/>
          <w:color w:val="000000"/>
          <w:sz w:val="32"/>
          <w:szCs w:val="32"/>
          <w:lang w:eastAsia="zh-CN"/>
        </w:rPr>
        <w:t>；项目经费支出</w:t>
      </w:r>
      <w:r>
        <w:rPr>
          <w:rFonts w:hint="eastAsia" w:ascii="仿宋" w:hAnsi="仿宋" w:eastAsia="仿宋"/>
          <w:color w:val="000000"/>
          <w:sz w:val="32"/>
          <w:szCs w:val="32"/>
          <w:lang w:val="en-US" w:eastAsia="zh-CN"/>
        </w:rPr>
        <w:t>0</w:t>
      </w:r>
      <w:r>
        <w:rPr>
          <w:rFonts w:hint="eastAsia" w:ascii="仿宋" w:hAnsi="仿宋" w:eastAsia="仿宋"/>
          <w:color w:val="000000"/>
          <w:sz w:val="32"/>
          <w:szCs w:val="32"/>
        </w:rPr>
        <w:t>万元</w:t>
      </w:r>
      <w:r>
        <w:rPr>
          <w:rFonts w:hint="eastAsia" w:ascii="仿宋" w:hAnsi="仿宋" w:eastAsia="仿宋"/>
          <w:color w:val="000000"/>
          <w:sz w:val="32"/>
          <w:szCs w:val="32"/>
          <w:lang w:eastAsia="zh-CN"/>
        </w:rPr>
        <w:t>，包括</w:t>
      </w:r>
      <w:r>
        <w:rPr>
          <w:rFonts w:hint="eastAsia" w:ascii="仿宋" w:hAnsi="仿宋" w:eastAsia="仿宋"/>
          <w:color w:val="000000"/>
          <w:sz w:val="32"/>
          <w:szCs w:val="32"/>
        </w:rPr>
        <w:t>办公费、印刷费、咨询费、手续费、水费、电费、邮电费、取暖费、物业管理费、差旅费、因公出国（境）费用、维修（护）费、租赁费、会议费、培训费、公务接待费、劳务费、委托业务费、工会经费、福利费、公务用车运行维护费、其他交通费、税金及附加费用、其他商品和服务支出、办公设备购置、专用设备购置、信息网络及软件购置更新、其他资本性支出等</w:t>
      </w:r>
      <w:r>
        <w:rPr>
          <w:rFonts w:hint="eastAsia" w:ascii="仿宋" w:hAnsi="仿宋" w:eastAsia="仿宋"/>
          <w:color w:val="000000"/>
          <w:sz w:val="32"/>
          <w:szCs w:val="32"/>
          <w:lang w:eastAsia="zh-CN"/>
        </w:rPr>
        <w:t>。</w:t>
      </w:r>
    </w:p>
    <w:p>
      <w:pPr>
        <w:spacing w:line="600" w:lineRule="exact"/>
        <w:ind w:firstLine="640"/>
        <w:outlineLvl w:val="1"/>
        <w:rPr>
          <w:rStyle w:val="26"/>
          <w:rFonts w:ascii="黑体" w:hAnsi="黑体" w:eastAsia="黑体"/>
          <w:b w:val="0"/>
        </w:rPr>
      </w:pPr>
      <w:bookmarkStart w:id="116" w:name="_Toc350575122_WPSOffice_Level2"/>
      <w:bookmarkStart w:id="117" w:name="_Toc15377215"/>
      <w:bookmarkStart w:id="118" w:name="_Toc15396609"/>
      <w:r>
        <w:rPr>
          <w:rFonts w:hint="eastAsia" w:ascii="黑体" w:eastAsia="黑体"/>
          <w:color w:val="000000"/>
          <w:sz w:val="32"/>
          <w:szCs w:val="32"/>
          <w:lang w:eastAsia="zh-CN"/>
        </w:rPr>
        <w:t>八</w:t>
      </w:r>
      <w:r>
        <w:rPr>
          <w:rFonts w:hint="eastAsia" w:ascii="黑体" w:eastAsia="黑体"/>
          <w:b w:val="0"/>
          <w:bCs w:val="0"/>
          <w:color w:val="000000"/>
          <w:sz w:val="32"/>
          <w:szCs w:val="32"/>
        </w:rPr>
        <w:t>、</w:t>
      </w:r>
      <w:r>
        <w:rPr>
          <w:rStyle w:val="26"/>
          <w:rFonts w:hint="eastAsia" w:ascii="黑体" w:hAnsi="黑体" w:eastAsia="黑体"/>
          <w:b w:val="0"/>
          <w:bCs w:val="0"/>
        </w:rPr>
        <w:t>“三公”</w:t>
      </w:r>
      <w:r>
        <w:rPr>
          <w:rStyle w:val="26"/>
          <w:rFonts w:hint="eastAsia" w:ascii="黑体" w:hAnsi="黑体" w:eastAsia="黑体"/>
          <w:b w:val="0"/>
        </w:rPr>
        <w:t>经费财政拨款支出决算情况说明</w:t>
      </w:r>
      <w:bookmarkEnd w:id="116"/>
      <w:bookmarkEnd w:id="117"/>
      <w:bookmarkEnd w:id="118"/>
    </w:p>
    <w:p>
      <w:pPr>
        <w:spacing w:line="600" w:lineRule="exact"/>
        <w:ind w:firstLine="640"/>
        <w:outlineLvl w:val="2"/>
        <w:rPr>
          <w:rFonts w:ascii="仿宋" w:hAnsi="仿宋" w:eastAsia="仿宋"/>
          <w:b/>
          <w:color w:val="000000"/>
          <w:sz w:val="32"/>
          <w:szCs w:val="32"/>
        </w:rPr>
      </w:pPr>
      <w:bookmarkStart w:id="119" w:name="_Toc15377216"/>
      <w:bookmarkStart w:id="120" w:name="_Toc455772242_WPSOffice_Level3"/>
      <w:r>
        <w:rPr>
          <w:rFonts w:hint="eastAsia" w:ascii="仿宋" w:hAnsi="仿宋" w:eastAsia="仿宋"/>
          <w:b/>
          <w:color w:val="000000"/>
          <w:sz w:val="32"/>
          <w:szCs w:val="32"/>
        </w:rPr>
        <w:t>（一）“三公”经费财政拨款支出决算总体情况说明</w:t>
      </w:r>
      <w:bookmarkEnd w:id="119"/>
      <w:bookmarkEnd w:id="120"/>
    </w:p>
    <w:p>
      <w:pPr>
        <w:spacing w:line="590" w:lineRule="exact"/>
        <w:ind w:firstLine="640" w:firstLineChars="200"/>
        <w:rPr>
          <w:rFonts w:eastAsia="方正仿宋_GBK"/>
          <w:sz w:val="33"/>
          <w:szCs w:val="33"/>
        </w:rPr>
      </w:pPr>
      <w:bookmarkStart w:id="121" w:name="_Toc580365366_WPSOffice_Level3"/>
      <w:bookmarkStart w:id="122" w:name="_Toc15377217"/>
      <w:r>
        <w:rPr>
          <w:rFonts w:ascii="仿宋" w:hAnsi="仿宋" w:eastAsia="仿宋"/>
          <w:color w:val="000000"/>
          <w:sz w:val="32"/>
          <w:szCs w:val="32"/>
        </w:rPr>
        <w:t>20</w:t>
      </w:r>
      <w:r>
        <w:rPr>
          <w:rFonts w:hint="eastAsia" w:ascii="仿宋" w:hAnsi="仿宋" w:eastAsia="仿宋"/>
          <w:color w:val="000000"/>
          <w:sz w:val="32"/>
          <w:szCs w:val="32"/>
        </w:rPr>
        <w:t>2</w:t>
      </w:r>
      <w:r>
        <w:rPr>
          <w:rFonts w:hint="eastAsia" w:ascii="仿宋" w:hAnsi="仿宋" w:eastAsia="仿宋"/>
          <w:color w:val="000000"/>
          <w:sz w:val="32"/>
          <w:szCs w:val="32"/>
          <w:lang w:val="en-US" w:eastAsia="zh-CN"/>
        </w:rPr>
        <w:t>1</w:t>
      </w:r>
      <w:r>
        <w:rPr>
          <w:rFonts w:hint="eastAsia" w:ascii="仿宋" w:hAnsi="仿宋" w:eastAsia="仿宋"/>
          <w:color w:val="000000"/>
          <w:sz w:val="32"/>
          <w:szCs w:val="32"/>
        </w:rPr>
        <w:t>年“三公”经费财政拨款支出决算为</w:t>
      </w:r>
      <w:r>
        <w:rPr>
          <w:rFonts w:hint="eastAsia" w:ascii="仿宋" w:hAnsi="仿宋" w:eastAsia="仿宋"/>
          <w:color w:val="000000"/>
          <w:sz w:val="32"/>
          <w:szCs w:val="32"/>
          <w:lang w:val="en-US" w:eastAsia="zh-CN"/>
        </w:rPr>
        <w:t>0.65</w:t>
      </w:r>
      <w:r>
        <w:rPr>
          <w:rFonts w:hint="eastAsia" w:ascii="仿宋" w:hAnsi="仿宋" w:eastAsia="仿宋"/>
          <w:color w:val="000000"/>
          <w:sz w:val="32"/>
          <w:szCs w:val="32"/>
        </w:rPr>
        <w:t>万元，完成预算</w:t>
      </w:r>
      <w:r>
        <w:rPr>
          <w:rFonts w:hint="eastAsia" w:ascii="仿宋" w:hAnsi="仿宋" w:eastAsia="仿宋"/>
          <w:color w:val="000000"/>
          <w:sz w:val="32"/>
          <w:szCs w:val="32"/>
          <w:lang w:val="en-US" w:eastAsia="zh-CN"/>
        </w:rPr>
        <w:t>32.73</w:t>
      </w:r>
      <w:r>
        <w:rPr>
          <w:rFonts w:ascii="仿宋" w:hAnsi="仿宋" w:eastAsia="仿宋"/>
          <w:color w:val="000000"/>
          <w:sz w:val="32"/>
          <w:szCs w:val="32"/>
        </w:rPr>
        <w:t>%</w:t>
      </w:r>
      <w:r>
        <w:rPr>
          <w:rFonts w:hint="eastAsia" w:ascii="仿宋" w:hAnsi="仿宋" w:eastAsia="仿宋"/>
          <w:color w:val="000000"/>
          <w:sz w:val="32"/>
          <w:szCs w:val="32"/>
        </w:rPr>
        <w:t>，</w:t>
      </w:r>
      <w:r>
        <w:rPr>
          <w:rFonts w:hint="eastAsia" w:eastAsia="方正仿宋_GBK"/>
          <w:sz w:val="33"/>
          <w:szCs w:val="33"/>
        </w:rPr>
        <w:t>比2020年增加</w:t>
      </w:r>
      <w:r>
        <w:rPr>
          <w:rFonts w:hint="default" w:eastAsia="方正仿宋_GBK"/>
          <w:sz w:val="33"/>
          <w:szCs w:val="33"/>
          <w:lang w:val="en"/>
        </w:rPr>
        <w:t>0.01</w:t>
      </w:r>
      <w:r>
        <w:rPr>
          <w:rFonts w:hint="eastAsia" w:eastAsia="方正仿宋_GBK"/>
          <w:sz w:val="33"/>
          <w:szCs w:val="33"/>
        </w:rPr>
        <w:t>万元，增长</w:t>
      </w:r>
      <w:r>
        <w:rPr>
          <w:rFonts w:hint="default" w:eastAsia="方正仿宋_GBK"/>
          <w:sz w:val="33"/>
          <w:szCs w:val="33"/>
          <w:lang w:val="en"/>
        </w:rPr>
        <w:t>1.56%，</w:t>
      </w:r>
      <w:r>
        <w:rPr>
          <w:rFonts w:hint="eastAsia" w:eastAsia="方正仿宋_GBK"/>
          <w:sz w:val="33"/>
          <w:szCs w:val="33"/>
        </w:rPr>
        <w:t>主要原因是公务接待费较2020年增加了</w:t>
      </w:r>
      <w:r>
        <w:rPr>
          <w:rFonts w:hint="default" w:eastAsia="方正仿宋_GBK"/>
          <w:sz w:val="33"/>
          <w:szCs w:val="33"/>
          <w:lang w:val="en"/>
        </w:rPr>
        <w:t>0.01</w:t>
      </w:r>
      <w:r>
        <w:rPr>
          <w:rFonts w:hint="eastAsia" w:eastAsia="方正仿宋_GBK"/>
          <w:sz w:val="33"/>
          <w:szCs w:val="33"/>
        </w:rPr>
        <w:t>万元。</w:t>
      </w:r>
      <w:r>
        <w:rPr>
          <w:rFonts w:hint="eastAsia" w:ascii="仿宋" w:hAnsi="仿宋" w:eastAsia="仿宋"/>
          <w:color w:val="000000"/>
          <w:sz w:val="32"/>
          <w:szCs w:val="32"/>
        </w:rPr>
        <w:t>决算数小于预算数（或与预算数持平）的主要原因是接待活动较少</w:t>
      </w:r>
      <w:r>
        <w:rPr>
          <w:rFonts w:hint="default" w:ascii="仿宋" w:hAnsi="仿宋" w:eastAsia="仿宋"/>
          <w:color w:val="000000"/>
          <w:sz w:val="32"/>
          <w:szCs w:val="32"/>
          <w:lang w:val="en"/>
        </w:rPr>
        <w:t>，</w:t>
      </w:r>
      <w:r>
        <w:rPr>
          <w:rFonts w:hint="eastAsia" w:eastAsia="方正仿宋_GBK"/>
          <w:sz w:val="33"/>
          <w:szCs w:val="33"/>
        </w:rPr>
        <w:t>严格落实中央八项规定精神，严守财经纪律，“三公”经费规范管理。</w:t>
      </w:r>
    </w:p>
    <w:p>
      <w:pPr>
        <w:spacing w:line="600" w:lineRule="exact"/>
        <w:ind w:firstLine="640"/>
        <w:outlineLvl w:val="2"/>
        <w:rPr>
          <w:rFonts w:ascii="仿宋" w:hAnsi="仿宋" w:eastAsia="仿宋"/>
          <w:b/>
          <w:color w:val="000000"/>
          <w:sz w:val="32"/>
          <w:szCs w:val="32"/>
        </w:rPr>
      </w:pPr>
      <w:r>
        <w:rPr>
          <w:rFonts w:hint="eastAsia" w:ascii="仿宋" w:hAnsi="仿宋" w:eastAsia="仿宋"/>
          <w:b/>
          <w:color w:val="000000"/>
          <w:sz w:val="32"/>
          <w:szCs w:val="32"/>
        </w:rPr>
        <w:t>（二）“三公”经费财政拨款支出决算具体情况说明</w:t>
      </w:r>
      <w:bookmarkEnd w:id="121"/>
      <w:bookmarkEnd w:id="122"/>
    </w:p>
    <w:p>
      <w:pPr>
        <w:spacing w:line="600" w:lineRule="exact"/>
        <w:ind w:firstLine="640"/>
        <w:rPr>
          <w:rFonts w:ascii="仿宋" w:hAnsi="仿宋" w:eastAsia="仿宋"/>
          <w:color w:val="000000"/>
          <w:sz w:val="32"/>
          <w:szCs w:val="32"/>
        </w:rPr>
      </w:pPr>
      <w:r>
        <w:rPr>
          <w:rFonts w:ascii="仿宋" w:hAnsi="仿宋" w:eastAsia="仿宋"/>
          <w:color w:val="000000"/>
          <w:sz w:val="32"/>
          <w:szCs w:val="32"/>
        </w:rPr>
        <w:t>20</w:t>
      </w:r>
      <w:r>
        <w:rPr>
          <w:rFonts w:hint="eastAsia" w:ascii="仿宋" w:hAnsi="仿宋" w:eastAsia="仿宋"/>
          <w:color w:val="000000"/>
          <w:sz w:val="32"/>
          <w:szCs w:val="32"/>
        </w:rPr>
        <w:t>2</w:t>
      </w:r>
      <w:r>
        <w:rPr>
          <w:rFonts w:hint="eastAsia" w:ascii="仿宋" w:hAnsi="仿宋" w:eastAsia="仿宋"/>
          <w:color w:val="000000"/>
          <w:sz w:val="32"/>
          <w:szCs w:val="32"/>
          <w:lang w:val="en-US" w:eastAsia="zh-CN"/>
        </w:rPr>
        <w:t>1</w:t>
      </w:r>
      <w:r>
        <w:rPr>
          <w:rFonts w:hint="eastAsia" w:ascii="仿宋" w:hAnsi="仿宋" w:eastAsia="仿宋"/>
          <w:color w:val="000000"/>
          <w:sz w:val="32"/>
          <w:szCs w:val="32"/>
        </w:rPr>
        <w:t>年“三公”经费财政拨款支出决算中为</w:t>
      </w:r>
      <w:r>
        <w:rPr>
          <w:rFonts w:hint="eastAsia" w:ascii="仿宋" w:hAnsi="仿宋" w:eastAsia="仿宋"/>
          <w:color w:val="000000"/>
          <w:sz w:val="32"/>
          <w:szCs w:val="32"/>
          <w:lang w:val="en-US" w:eastAsia="zh-CN"/>
        </w:rPr>
        <w:t>0.65</w:t>
      </w:r>
      <w:r>
        <w:rPr>
          <w:rFonts w:hint="eastAsia" w:ascii="仿宋" w:hAnsi="仿宋" w:eastAsia="仿宋"/>
          <w:color w:val="000000"/>
          <w:sz w:val="32"/>
          <w:szCs w:val="32"/>
        </w:rPr>
        <w:t>万元，</w:t>
      </w:r>
      <w:r>
        <w:rPr>
          <w:rFonts w:hint="eastAsia" w:eastAsia="方正仿宋_GBK"/>
          <w:sz w:val="33"/>
          <w:szCs w:val="33"/>
        </w:rPr>
        <w:t>比2020年增加</w:t>
      </w:r>
      <w:r>
        <w:rPr>
          <w:rFonts w:hint="default" w:eastAsia="方正仿宋_GBK"/>
          <w:sz w:val="33"/>
          <w:szCs w:val="33"/>
          <w:lang w:val="en"/>
        </w:rPr>
        <w:t>0.01</w:t>
      </w:r>
      <w:r>
        <w:rPr>
          <w:rFonts w:hint="eastAsia" w:eastAsia="方正仿宋_GBK"/>
          <w:sz w:val="33"/>
          <w:szCs w:val="33"/>
        </w:rPr>
        <w:t>万元，增长</w:t>
      </w:r>
      <w:r>
        <w:rPr>
          <w:rFonts w:hint="default" w:eastAsia="方正仿宋_GBK"/>
          <w:sz w:val="33"/>
          <w:szCs w:val="33"/>
          <w:lang w:val="en"/>
        </w:rPr>
        <w:t>1.56%，</w:t>
      </w:r>
      <w:r>
        <w:rPr>
          <w:rFonts w:hint="eastAsia" w:eastAsia="方正仿宋_GBK"/>
          <w:sz w:val="33"/>
          <w:szCs w:val="33"/>
        </w:rPr>
        <w:t>主要原因是公务接待费较2020年增加了</w:t>
      </w:r>
      <w:r>
        <w:rPr>
          <w:rFonts w:hint="default" w:eastAsia="方正仿宋_GBK"/>
          <w:sz w:val="33"/>
          <w:szCs w:val="33"/>
          <w:lang w:val="en"/>
        </w:rPr>
        <w:t>0.01</w:t>
      </w:r>
      <w:r>
        <w:rPr>
          <w:rFonts w:hint="eastAsia" w:eastAsia="方正仿宋_GBK"/>
          <w:sz w:val="33"/>
          <w:szCs w:val="33"/>
        </w:rPr>
        <w:t>万元。</w:t>
      </w:r>
      <w:r>
        <w:rPr>
          <w:rFonts w:hint="default" w:ascii="仿宋" w:hAnsi="仿宋" w:eastAsia="仿宋"/>
          <w:color w:val="000000"/>
          <w:sz w:val="32"/>
          <w:szCs w:val="32"/>
          <w:lang w:val="en"/>
        </w:rPr>
        <w:t>其中：</w:t>
      </w:r>
      <w:r>
        <w:rPr>
          <w:rFonts w:hint="eastAsia" w:ascii="仿宋" w:hAnsi="仿宋" w:eastAsia="仿宋"/>
          <w:color w:val="000000"/>
          <w:sz w:val="32"/>
          <w:szCs w:val="32"/>
        </w:rPr>
        <w:t>因公出国（境）费支出决算</w:t>
      </w:r>
      <w:r>
        <w:rPr>
          <w:rFonts w:hint="eastAsia" w:ascii="仿宋" w:hAnsi="仿宋" w:eastAsia="仿宋"/>
          <w:color w:val="000000"/>
          <w:sz w:val="32"/>
          <w:szCs w:val="32"/>
          <w:lang w:val="en-US" w:eastAsia="zh-CN"/>
        </w:rPr>
        <w:t>0</w:t>
      </w:r>
      <w:r>
        <w:rPr>
          <w:rFonts w:hint="eastAsia" w:ascii="仿宋" w:hAnsi="仿宋" w:eastAsia="仿宋"/>
          <w:color w:val="000000"/>
          <w:sz w:val="32"/>
          <w:szCs w:val="32"/>
        </w:rPr>
        <w:t>万元，占</w:t>
      </w:r>
      <w:r>
        <w:rPr>
          <w:rFonts w:hint="eastAsia" w:ascii="仿宋" w:hAnsi="仿宋" w:eastAsia="仿宋"/>
          <w:color w:val="000000"/>
          <w:sz w:val="32"/>
          <w:szCs w:val="32"/>
          <w:lang w:val="en-US" w:eastAsia="zh-CN"/>
        </w:rPr>
        <w:t>0</w:t>
      </w:r>
      <w:r>
        <w:rPr>
          <w:rFonts w:ascii="仿宋" w:hAnsi="仿宋" w:eastAsia="仿宋"/>
          <w:color w:val="000000"/>
          <w:sz w:val="32"/>
          <w:szCs w:val="32"/>
        </w:rPr>
        <w:t>%</w:t>
      </w:r>
      <w:r>
        <w:rPr>
          <w:rFonts w:hint="eastAsia" w:ascii="仿宋" w:hAnsi="仿宋" w:eastAsia="仿宋"/>
          <w:color w:val="000000"/>
          <w:sz w:val="32"/>
          <w:szCs w:val="32"/>
        </w:rPr>
        <w:t>；公务用车购置及运行维护费支出决算</w:t>
      </w:r>
      <w:r>
        <w:rPr>
          <w:rFonts w:hint="eastAsia" w:ascii="仿宋" w:hAnsi="仿宋" w:eastAsia="仿宋"/>
          <w:color w:val="000000"/>
          <w:sz w:val="32"/>
          <w:szCs w:val="32"/>
          <w:lang w:val="en-US" w:eastAsia="zh-CN"/>
        </w:rPr>
        <w:t>0</w:t>
      </w:r>
      <w:r>
        <w:rPr>
          <w:rFonts w:hint="eastAsia" w:ascii="仿宋" w:hAnsi="仿宋" w:eastAsia="仿宋"/>
          <w:color w:val="000000"/>
          <w:sz w:val="32"/>
          <w:szCs w:val="32"/>
        </w:rPr>
        <w:t>万元，占</w:t>
      </w:r>
      <w:r>
        <w:rPr>
          <w:rFonts w:hint="eastAsia" w:ascii="仿宋" w:hAnsi="仿宋" w:eastAsia="仿宋"/>
          <w:color w:val="000000"/>
          <w:sz w:val="32"/>
          <w:szCs w:val="32"/>
          <w:lang w:val="en-US" w:eastAsia="zh-CN"/>
        </w:rPr>
        <w:t>0</w:t>
      </w:r>
      <w:r>
        <w:rPr>
          <w:rFonts w:ascii="仿宋" w:hAnsi="仿宋" w:eastAsia="仿宋"/>
          <w:color w:val="000000"/>
          <w:sz w:val="32"/>
          <w:szCs w:val="32"/>
        </w:rPr>
        <w:t>%</w:t>
      </w:r>
      <w:r>
        <w:rPr>
          <w:rFonts w:hint="eastAsia" w:ascii="仿宋" w:hAnsi="仿宋" w:eastAsia="仿宋"/>
          <w:color w:val="000000"/>
          <w:sz w:val="32"/>
          <w:szCs w:val="32"/>
        </w:rPr>
        <w:t>；公务接待费支出决算</w:t>
      </w:r>
      <w:r>
        <w:rPr>
          <w:rFonts w:hint="eastAsia" w:ascii="仿宋" w:hAnsi="仿宋" w:eastAsia="仿宋"/>
          <w:color w:val="000000"/>
          <w:sz w:val="32"/>
          <w:szCs w:val="32"/>
          <w:lang w:val="en-US" w:eastAsia="zh-CN"/>
        </w:rPr>
        <w:t>0.65</w:t>
      </w:r>
      <w:r>
        <w:rPr>
          <w:rFonts w:hint="eastAsia" w:ascii="仿宋" w:hAnsi="仿宋" w:eastAsia="仿宋"/>
          <w:color w:val="000000"/>
          <w:sz w:val="32"/>
          <w:szCs w:val="32"/>
        </w:rPr>
        <w:t>万元，占</w:t>
      </w:r>
      <w:r>
        <w:rPr>
          <w:rFonts w:hint="eastAsia" w:ascii="仿宋" w:hAnsi="仿宋" w:eastAsia="仿宋"/>
          <w:color w:val="000000"/>
          <w:sz w:val="32"/>
          <w:szCs w:val="32"/>
          <w:lang w:val="en-US" w:eastAsia="zh-CN"/>
        </w:rPr>
        <w:t>100</w:t>
      </w:r>
      <w:r>
        <w:rPr>
          <w:rFonts w:ascii="仿宋" w:hAnsi="仿宋" w:eastAsia="仿宋"/>
          <w:color w:val="000000"/>
          <w:sz w:val="32"/>
          <w:szCs w:val="32"/>
        </w:rPr>
        <w:t>%</w:t>
      </w:r>
      <w:r>
        <w:rPr>
          <w:rFonts w:hint="eastAsia" w:ascii="仿宋" w:hAnsi="仿宋" w:eastAsia="仿宋"/>
          <w:color w:val="000000"/>
          <w:sz w:val="32"/>
          <w:szCs w:val="32"/>
        </w:rPr>
        <w:t>。具体情况如下：具体情况如下：</w:t>
      </w:r>
    </w:p>
    <w:p>
      <w:pPr>
        <w:spacing w:line="600" w:lineRule="exact"/>
        <w:ind w:firstLine="640"/>
        <w:rPr>
          <w:rFonts w:hint="eastAsia" w:ascii="仿宋" w:hAnsi="仿宋" w:eastAsia="仿宋"/>
          <w:color w:val="000000"/>
          <w:sz w:val="32"/>
          <w:szCs w:val="32"/>
        </w:rPr>
      </w:pPr>
      <w:r>
        <w:drawing>
          <wp:anchor distT="0" distB="0" distL="114300" distR="114300" simplePos="0" relativeHeight="251665408" behindDoc="0" locked="0" layoutInCell="1" allowOverlap="1">
            <wp:simplePos x="0" y="0"/>
            <wp:positionH relativeFrom="column">
              <wp:posOffset>267970</wp:posOffset>
            </wp:positionH>
            <wp:positionV relativeFrom="paragraph">
              <wp:posOffset>143510</wp:posOffset>
            </wp:positionV>
            <wp:extent cx="4980940" cy="1686560"/>
            <wp:effectExtent l="4445" t="4445" r="5715" b="23495"/>
            <wp:wrapSquare wrapText="bothSides"/>
            <wp:docPr id="8" name="图表 7"/>
            <wp:cNvGraphicFramePr/>
            <a:graphic xmlns:a="http://schemas.openxmlformats.org/drawingml/2006/main">
              <a:graphicData uri="http://schemas.openxmlformats.org/drawingml/2006/chart">
                <c:chart xmlns:c="http://schemas.openxmlformats.org/drawingml/2006/chart" xmlns:r="http://schemas.openxmlformats.org/officeDocument/2006/relationships" r:id="rId12"/>
              </a:graphicData>
            </a:graphic>
          </wp:anchor>
        </w:drawing>
      </w:r>
    </w:p>
    <w:p>
      <w:pPr>
        <w:spacing w:line="600" w:lineRule="exact"/>
        <w:ind w:firstLine="640"/>
        <w:rPr>
          <w:rFonts w:hint="eastAsia" w:ascii="仿宋" w:hAnsi="仿宋" w:eastAsia="仿宋"/>
          <w:color w:val="000000"/>
          <w:sz w:val="32"/>
          <w:szCs w:val="32"/>
        </w:rPr>
      </w:pPr>
    </w:p>
    <w:p>
      <w:pPr>
        <w:spacing w:line="600" w:lineRule="exact"/>
        <w:ind w:firstLine="640"/>
        <w:rPr>
          <w:rFonts w:hint="eastAsia" w:ascii="仿宋" w:hAnsi="仿宋" w:eastAsia="仿宋"/>
          <w:color w:val="000000"/>
          <w:sz w:val="32"/>
          <w:szCs w:val="32"/>
        </w:rPr>
      </w:pPr>
    </w:p>
    <w:p>
      <w:pPr>
        <w:spacing w:line="600" w:lineRule="exact"/>
        <w:ind w:firstLine="640"/>
        <w:rPr>
          <w:rFonts w:hint="eastAsia" w:ascii="仿宋" w:hAnsi="仿宋" w:eastAsia="仿宋"/>
          <w:color w:val="000000"/>
          <w:sz w:val="32"/>
          <w:szCs w:val="32"/>
        </w:rPr>
      </w:pPr>
    </w:p>
    <w:p>
      <w:pPr>
        <w:spacing w:line="600" w:lineRule="exact"/>
        <w:ind w:firstLine="640"/>
        <w:rPr>
          <w:rFonts w:hint="eastAsia" w:ascii="仿宋" w:hAnsi="仿宋" w:eastAsia="仿宋"/>
          <w:color w:val="000000"/>
          <w:sz w:val="32"/>
          <w:szCs w:val="32"/>
          <w:lang w:eastAsia="zh-CN"/>
        </w:rPr>
      </w:pPr>
    </w:p>
    <w:p>
      <w:pPr>
        <w:spacing w:line="600" w:lineRule="exact"/>
        <w:ind w:firstLine="640"/>
        <w:rPr>
          <w:rFonts w:hint="eastAsia" w:ascii="仿宋" w:hAnsi="仿宋" w:eastAsia="仿宋"/>
          <w:color w:val="000000"/>
          <w:sz w:val="32"/>
          <w:szCs w:val="32"/>
        </w:rPr>
      </w:pPr>
      <w:r>
        <w:rPr>
          <w:rFonts w:hint="eastAsia" w:ascii="仿宋" w:hAnsi="仿宋" w:eastAsia="仿宋"/>
          <w:color w:val="000000"/>
          <w:sz w:val="32"/>
          <w:szCs w:val="32"/>
          <w:lang w:eastAsia="zh-CN"/>
        </w:rPr>
        <w:t>（</w:t>
      </w:r>
      <w:r>
        <w:rPr>
          <w:rFonts w:hint="eastAsia" w:ascii="仿宋" w:hAnsi="仿宋" w:eastAsia="仿宋"/>
          <w:color w:val="000000"/>
          <w:sz w:val="32"/>
          <w:szCs w:val="32"/>
        </w:rPr>
        <w:t>图7：“三公”经费财政拨款支出结构）（饼状图）</w:t>
      </w:r>
    </w:p>
    <w:p>
      <w:pPr>
        <w:spacing w:line="600" w:lineRule="exact"/>
        <w:ind w:firstLine="640"/>
        <w:rPr>
          <w:rFonts w:hint="eastAsia" w:ascii="仿宋" w:hAnsi="仿宋" w:eastAsia="仿宋"/>
          <w:color w:val="000000"/>
          <w:sz w:val="32"/>
          <w:szCs w:val="32"/>
        </w:rPr>
      </w:pPr>
    </w:p>
    <w:p>
      <w:pPr>
        <w:spacing w:line="600" w:lineRule="exact"/>
        <w:ind w:firstLine="640"/>
        <w:rPr>
          <w:rFonts w:hint="eastAsia" w:ascii="仿宋" w:hAnsi="仿宋" w:eastAsia="仿宋"/>
          <w:color w:val="000000"/>
          <w:sz w:val="32"/>
          <w:szCs w:val="32"/>
        </w:rPr>
      </w:pPr>
    </w:p>
    <w:p>
      <w:pPr>
        <w:spacing w:line="600" w:lineRule="exact"/>
        <w:ind w:firstLine="640"/>
        <w:rPr>
          <w:rFonts w:ascii="仿宋_GB2312" w:eastAsia="仿宋_GB2312"/>
          <w:color w:val="000000"/>
          <w:sz w:val="32"/>
          <w:szCs w:val="32"/>
        </w:rPr>
      </w:pPr>
      <w:bookmarkStart w:id="123" w:name="_Toc15396610"/>
      <w:bookmarkStart w:id="124" w:name="_Toc15377218"/>
      <w:r>
        <w:rPr>
          <w:rFonts w:ascii="仿宋_GB2312" w:eastAsia="仿宋_GB2312"/>
          <w:b/>
          <w:color w:val="000000"/>
          <w:sz w:val="32"/>
          <w:szCs w:val="32"/>
        </w:rPr>
        <w:t>1.</w:t>
      </w:r>
      <w:r>
        <w:rPr>
          <w:rFonts w:hint="eastAsia" w:ascii="仿宋_GB2312" w:eastAsia="仿宋_GB2312"/>
          <w:b/>
          <w:color w:val="000000"/>
          <w:sz w:val="32"/>
          <w:szCs w:val="32"/>
        </w:rPr>
        <w:t>因公出国（境）经费支出</w:t>
      </w:r>
      <w:r>
        <w:rPr>
          <w:rFonts w:hint="eastAsia" w:ascii="仿宋_GB2312" w:eastAsia="仿宋_GB2312"/>
          <w:color w:val="000000"/>
          <w:sz w:val="32"/>
          <w:szCs w:val="32"/>
          <w:lang w:val="en-US" w:eastAsia="zh-CN"/>
        </w:rPr>
        <w:t>0</w:t>
      </w:r>
      <w:r>
        <w:rPr>
          <w:rFonts w:hint="eastAsia" w:ascii="仿宋_GB2312" w:eastAsia="仿宋_GB2312"/>
          <w:color w:val="000000"/>
          <w:sz w:val="32"/>
          <w:szCs w:val="32"/>
        </w:rPr>
        <w:t>万元</w:t>
      </w:r>
      <w:r>
        <w:rPr>
          <w:rFonts w:hint="default" w:ascii="仿宋_GB2312" w:eastAsia="仿宋_GB2312"/>
          <w:color w:val="000000"/>
          <w:sz w:val="32"/>
          <w:szCs w:val="32"/>
          <w:lang w:val="en" w:eastAsia="zh-CN"/>
        </w:rPr>
        <w:t>，</w:t>
      </w:r>
      <w:r>
        <w:rPr>
          <w:rFonts w:hint="eastAsia" w:eastAsia="方正仿宋_GBK"/>
          <w:sz w:val="33"/>
          <w:szCs w:val="33"/>
        </w:rPr>
        <w:t>与</w:t>
      </w:r>
      <w:r>
        <w:rPr>
          <w:rFonts w:hint="default" w:eastAsia="方正仿宋_GBK"/>
          <w:sz w:val="33"/>
          <w:szCs w:val="33"/>
          <w:lang w:val="en"/>
        </w:rPr>
        <w:t>2020年</w:t>
      </w:r>
      <w:r>
        <w:rPr>
          <w:rFonts w:hint="eastAsia" w:eastAsia="方正仿宋_GBK"/>
          <w:sz w:val="33"/>
          <w:szCs w:val="33"/>
        </w:rPr>
        <w:t>持平。全年安排因公出国（境）团组0次，出国（境）0人。</w:t>
      </w:r>
    </w:p>
    <w:p>
      <w:pPr>
        <w:spacing w:line="600" w:lineRule="exact"/>
        <w:ind w:firstLine="640"/>
        <w:rPr>
          <w:rFonts w:hint="eastAsia" w:eastAsia="仿宋_GB2312"/>
          <w:sz w:val="33"/>
          <w:szCs w:val="33"/>
          <w:lang w:val="en" w:eastAsia="zh-CN"/>
        </w:rPr>
      </w:pPr>
      <w:r>
        <w:rPr>
          <w:rFonts w:ascii="仿宋_GB2312" w:eastAsia="仿宋_GB2312"/>
          <w:b/>
          <w:color w:val="000000"/>
          <w:sz w:val="32"/>
          <w:szCs w:val="32"/>
        </w:rPr>
        <w:t>2.</w:t>
      </w:r>
      <w:r>
        <w:rPr>
          <w:rFonts w:hint="eastAsia" w:ascii="仿宋_GB2312" w:eastAsia="仿宋_GB2312"/>
          <w:b/>
          <w:color w:val="000000"/>
          <w:sz w:val="32"/>
          <w:szCs w:val="32"/>
        </w:rPr>
        <w:t>公务用车购置及运行维护费支出</w:t>
      </w:r>
      <w:r>
        <w:rPr>
          <w:rFonts w:hint="eastAsia" w:ascii="仿宋_GB2312" w:eastAsia="仿宋_GB2312"/>
          <w:color w:val="000000"/>
          <w:sz w:val="32"/>
          <w:szCs w:val="32"/>
          <w:lang w:val="en-US" w:eastAsia="zh-CN"/>
        </w:rPr>
        <w:t>0</w:t>
      </w:r>
      <w:r>
        <w:rPr>
          <w:rFonts w:hint="eastAsia" w:ascii="仿宋_GB2312" w:eastAsia="仿宋_GB2312"/>
          <w:color w:val="000000"/>
          <w:sz w:val="32"/>
          <w:szCs w:val="32"/>
        </w:rPr>
        <w:t>万元</w:t>
      </w:r>
      <w:r>
        <w:rPr>
          <w:rFonts w:hint="default" w:ascii="仿宋_GB2312" w:eastAsia="仿宋_GB2312"/>
          <w:color w:val="000000"/>
          <w:sz w:val="32"/>
          <w:szCs w:val="32"/>
          <w:lang w:val="en" w:eastAsia="zh-CN"/>
        </w:rPr>
        <w:t>，</w:t>
      </w:r>
      <w:r>
        <w:rPr>
          <w:rFonts w:hint="eastAsia" w:eastAsia="方正仿宋_GBK"/>
          <w:sz w:val="33"/>
          <w:szCs w:val="33"/>
        </w:rPr>
        <w:t>与</w:t>
      </w:r>
      <w:r>
        <w:rPr>
          <w:rFonts w:hint="default" w:eastAsia="方正仿宋_GBK"/>
          <w:sz w:val="33"/>
          <w:szCs w:val="33"/>
          <w:lang w:val="en"/>
        </w:rPr>
        <w:t>2020年</w:t>
      </w:r>
      <w:r>
        <w:rPr>
          <w:rFonts w:hint="eastAsia" w:eastAsia="方正仿宋_GBK"/>
          <w:sz w:val="33"/>
          <w:szCs w:val="33"/>
        </w:rPr>
        <w:t>持平</w:t>
      </w:r>
      <w:r>
        <w:rPr>
          <w:rFonts w:hint="default" w:eastAsia="方正仿宋_GBK"/>
          <w:sz w:val="33"/>
          <w:szCs w:val="33"/>
          <w:lang w:val="en"/>
        </w:rPr>
        <w:t>。</w:t>
      </w:r>
      <w:r>
        <w:rPr>
          <w:rFonts w:hint="eastAsia" w:ascii="仿宋_GB2312" w:eastAsia="仿宋_GB2312"/>
          <w:sz w:val="32"/>
          <w:szCs w:val="32"/>
        </w:rPr>
        <w:t>单位现有公务用车0辆</w:t>
      </w:r>
      <w:r>
        <w:rPr>
          <w:rFonts w:hint="eastAsia" w:ascii="仿宋_GB2312" w:eastAsia="仿宋_GB2312"/>
          <w:sz w:val="32"/>
          <w:szCs w:val="32"/>
          <w:lang w:eastAsia="zh-CN"/>
        </w:rPr>
        <w:t>。</w:t>
      </w:r>
    </w:p>
    <w:p>
      <w:pPr>
        <w:pStyle w:val="6"/>
        <w:ind w:firstLine="495" w:firstLineChars="150"/>
        <w:rPr>
          <w:rFonts w:hint="eastAsia" w:eastAsia="方正仿宋_GBK"/>
          <w:sz w:val="33"/>
          <w:szCs w:val="33"/>
        </w:rPr>
      </w:pPr>
      <w:r>
        <w:rPr>
          <w:rFonts w:hint="eastAsia" w:eastAsia="方正仿宋_GBK"/>
          <w:sz w:val="33"/>
          <w:szCs w:val="33"/>
        </w:rPr>
        <w:t>其中：</w:t>
      </w:r>
      <w:r>
        <w:rPr>
          <w:rFonts w:hint="eastAsia" w:eastAsia="方正仿宋_GBK"/>
          <w:b/>
          <w:bCs/>
          <w:sz w:val="33"/>
          <w:szCs w:val="33"/>
        </w:rPr>
        <w:t>公务用车购置支出</w:t>
      </w:r>
      <w:r>
        <w:rPr>
          <w:rFonts w:hint="eastAsia" w:eastAsia="方正仿宋_GBK"/>
          <w:sz w:val="33"/>
          <w:szCs w:val="33"/>
        </w:rPr>
        <w:t>0万元。</w:t>
      </w:r>
      <w:r>
        <w:rPr>
          <w:rFonts w:hint="eastAsia" w:ascii="仿宋_GB2312" w:eastAsia="仿宋_GB2312"/>
          <w:sz w:val="32"/>
          <w:szCs w:val="32"/>
        </w:rPr>
        <w:t>单位现有公务用车0辆</w:t>
      </w:r>
      <w:r>
        <w:rPr>
          <w:rFonts w:hint="eastAsia" w:ascii="仿宋_GB2312" w:eastAsia="仿宋_GB2312"/>
          <w:sz w:val="32"/>
          <w:szCs w:val="32"/>
          <w:lang w:eastAsia="zh-CN"/>
        </w:rPr>
        <w:t>。</w:t>
      </w:r>
      <w:r>
        <w:rPr>
          <w:rFonts w:hint="eastAsia" w:eastAsia="方正仿宋_GBK"/>
          <w:sz w:val="33"/>
          <w:szCs w:val="33"/>
        </w:rPr>
        <w:t>全年未更新购置公务用车。</w:t>
      </w:r>
    </w:p>
    <w:p>
      <w:pPr>
        <w:pStyle w:val="6"/>
        <w:ind w:firstLine="331" w:firstLineChars="100"/>
        <w:rPr>
          <w:rFonts w:hint="default" w:eastAsia="方正仿宋_GBK"/>
          <w:sz w:val="33"/>
          <w:szCs w:val="33"/>
          <w:lang w:val="en"/>
        </w:rPr>
      </w:pPr>
      <w:r>
        <w:rPr>
          <w:rFonts w:hint="eastAsia" w:eastAsia="方正仿宋_GBK"/>
          <w:b/>
          <w:bCs/>
          <w:sz w:val="33"/>
          <w:szCs w:val="33"/>
        </w:rPr>
        <w:t>公务用车运行维护费支出</w:t>
      </w:r>
      <w:r>
        <w:rPr>
          <w:rFonts w:hint="default" w:eastAsia="方正仿宋_GBK"/>
          <w:b/>
          <w:bCs/>
          <w:sz w:val="33"/>
          <w:szCs w:val="33"/>
          <w:lang w:val="en"/>
        </w:rPr>
        <w:t>0</w:t>
      </w:r>
      <w:r>
        <w:rPr>
          <w:rFonts w:hint="eastAsia" w:eastAsia="方正仿宋_GBK"/>
          <w:sz w:val="33"/>
          <w:szCs w:val="33"/>
        </w:rPr>
        <w:t>万元</w:t>
      </w:r>
      <w:r>
        <w:rPr>
          <w:rFonts w:hint="default" w:eastAsia="方正仿宋_GBK"/>
          <w:sz w:val="33"/>
          <w:szCs w:val="33"/>
          <w:lang w:val="en"/>
        </w:rPr>
        <w:t>。</w:t>
      </w:r>
      <w:r>
        <w:rPr>
          <w:rFonts w:hint="eastAsia" w:ascii="仿宋_GB2312" w:eastAsia="仿宋_GB2312"/>
          <w:sz w:val="32"/>
          <w:szCs w:val="32"/>
        </w:rPr>
        <w:t>单位现有公务用车0辆</w:t>
      </w:r>
      <w:r>
        <w:rPr>
          <w:rFonts w:hint="eastAsia" w:ascii="仿宋_GB2312" w:eastAsia="仿宋_GB2312"/>
          <w:sz w:val="32"/>
          <w:szCs w:val="32"/>
          <w:lang w:eastAsia="zh-CN"/>
        </w:rPr>
        <w:t>。</w:t>
      </w:r>
      <w:bookmarkStart w:id="205" w:name="_GoBack"/>
      <w:bookmarkEnd w:id="205"/>
      <w:r>
        <w:rPr>
          <w:rFonts w:hint="eastAsia" w:eastAsia="方正仿宋_GBK"/>
          <w:sz w:val="33"/>
          <w:szCs w:val="33"/>
        </w:rPr>
        <w:t>全年未更新购置公务用车</w:t>
      </w:r>
      <w:r>
        <w:rPr>
          <w:rFonts w:hint="default" w:eastAsia="方正仿宋_GBK"/>
          <w:sz w:val="33"/>
          <w:szCs w:val="33"/>
          <w:lang w:val="en"/>
        </w:rPr>
        <w:t>，未产生公务用车运行维护费。</w:t>
      </w:r>
    </w:p>
    <w:p>
      <w:pPr>
        <w:pStyle w:val="6"/>
        <w:ind w:firstLine="481" w:firstLineChars="150"/>
        <w:rPr>
          <w:rFonts w:ascii="仿宋_GB2312" w:eastAsia="仿宋_GB2312"/>
          <w:color w:val="000000"/>
          <w:sz w:val="32"/>
          <w:szCs w:val="32"/>
        </w:rPr>
      </w:pPr>
      <w:r>
        <w:rPr>
          <w:rFonts w:ascii="仿宋_GB2312" w:eastAsia="仿宋_GB2312"/>
          <w:b/>
          <w:color w:val="000000"/>
          <w:sz w:val="32"/>
          <w:szCs w:val="32"/>
        </w:rPr>
        <w:t>3.</w:t>
      </w:r>
      <w:r>
        <w:rPr>
          <w:rFonts w:hint="eastAsia" w:ascii="仿宋_GB2312" w:eastAsia="仿宋_GB2312"/>
          <w:b/>
          <w:color w:val="000000"/>
          <w:sz w:val="32"/>
          <w:szCs w:val="32"/>
        </w:rPr>
        <w:t>公务接待费支出</w:t>
      </w:r>
      <w:r>
        <w:rPr>
          <w:rFonts w:hint="eastAsia" w:ascii="仿宋_GB2312" w:eastAsia="仿宋_GB2312"/>
          <w:color w:val="000000"/>
          <w:sz w:val="32"/>
          <w:szCs w:val="32"/>
          <w:lang w:val="en-US" w:eastAsia="zh-CN"/>
        </w:rPr>
        <w:t>0.65</w:t>
      </w:r>
      <w:r>
        <w:rPr>
          <w:rFonts w:hint="eastAsia" w:ascii="仿宋_GB2312" w:eastAsia="仿宋_GB2312"/>
          <w:color w:val="000000"/>
          <w:sz w:val="32"/>
          <w:szCs w:val="32"/>
        </w:rPr>
        <w:t>万元，</w:t>
      </w:r>
      <w:r>
        <w:rPr>
          <w:rStyle w:val="15"/>
          <w:rFonts w:hint="eastAsia" w:ascii="仿宋" w:hAnsi="仿宋" w:eastAsia="仿宋"/>
          <w:b w:val="0"/>
          <w:bCs/>
          <w:color w:val="000000"/>
          <w:sz w:val="32"/>
          <w:szCs w:val="32"/>
        </w:rPr>
        <w:t>完成预算</w:t>
      </w:r>
      <w:r>
        <w:rPr>
          <w:rStyle w:val="15"/>
          <w:rFonts w:hint="eastAsia" w:ascii="仿宋" w:hAnsi="仿宋" w:eastAsia="仿宋"/>
          <w:b w:val="0"/>
          <w:bCs/>
          <w:color w:val="000000"/>
          <w:sz w:val="32"/>
          <w:szCs w:val="32"/>
          <w:lang w:val="en-US" w:eastAsia="zh-CN"/>
        </w:rPr>
        <w:t>32.73</w:t>
      </w:r>
      <w:r>
        <w:rPr>
          <w:rStyle w:val="15"/>
          <w:rFonts w:ascii="仿宋" w:hAnsi="仿宋" w:eastAsia="仿宋"/>
          <w:b w:val="0"/>
          <w:bCs/>
          <w:color w:val="000000"/>
          <w:sz w:val="32"/>
          <w:szCs w:val="32"/>
        </w:rPr>
        <w:t>%</w:t>
      </w:r>
      <w:r>
        <w:rPr>
          <w:rStyle w:val="15"/>
          <w:rFonts w:hint="eastAsia" w:ascii="仿宋" w:hAnsi="仿宋" w:eastAsia="仿宋"/>
          <w:b w:val="0"/>
          <w:bCs/>
          <w:color w:val="000000"/>
          <w:sz w:val="32"/>
          <w:szCs w:val="32"/>
        </w:rPr>
        <w:t>。</w:t>
      </w:r>
      <w:r>
        <w:rPr>
          <w:rFonts w:hint="eastAsia" w:ascii="仿宋_GB2312" w:eastAsia="仿宋_GB2312"/>
          <w:color w:val="000000"/>
          <w:sz w:val="32"/>
          <w:szCs w:val="32"/>
        </w:rPr>
        <w:t>公务接待费支出决算比</w:t>
      </w:r>
      <w:r>
        <w:rPr>
          <w:rFonts w:ascii="仿宋_GB2312" w:eastAsia="仿宋_GB2312"/>
          <w:color w:val="000000"/>
          <w:sz w:val="32"/>
          <w:szCs w:val="32"/>
        </w:rPr>
        <w:t>20</w:t>
      </w:r>
      <w:r>
        <w:rPr>
          <w:rFonts w:hint="eastAsia" w:ascii="仿宋_GB2312" w:eastAsia="仿宋_GB2312"/>
          <w:color w:val="000000"/>
          <w:sz w:val="32"/>
          <w:szCs w:val="32"/>
          <w:lang w:val="en-US" w:eastAsia="zh-CN"/>
        </w:rPr>
        <w:t>20</w:t>
      </w:r>
      <w:r>
        <w:rPr>
          <w:rFonts w:hint="eastAsia" w:ascii="仿宋_GB2312" w:eastAsia="仿宋_GB2312"/>
          <w:color w:val="000000"/>
          <w:sz w:val="32"/>
          <w:szCs w:val="32"/>
        </w:rPr>
        <w:t>年增加</w:t>
      </w:r>
      <w:r>
        <w:rPr>
          <w:rFonts w:hint="eastAsia" w:ascii="仿宋_GB2312" w:eastAsia="仿宋_GB2312"/>
          <w:color w:val="000000"/>
          <w:sz w:val="32"/>
          <w:szCs w:val="32"/>
          <w:lang w:val="en-US" w:eastAsia="zh-CN"/>
        </w:rPr>
        <w:t>0.</w:t>
      </w:r>
      <w:r>
        <w:rPr>
          <w:rFonts w:hint="default"/>
          <w:color w:val="000000"/>
          <w:sz w:val="32"/>
          <w:szCs w:val="32"/>
          <w:lang w:val="en" w:eastAsia="zh-CN"/>
        </w:rPr>
        <w:t>0</w:t>
      </w:r>
      <w:r>
        <w:rPr>
          <w:rFonts w:hint="eastAsia" w:ascii="仿宋_GB2312" w:eastAsia="仿宋_GB2312"/>
          <w:color w:val="000000"/>
          <w:sz w:val="32"/>
          <w:szCs w:val="32"/>
          <w:lang w:val="en-US" w:eastAsia="zh-CN"/>
        </w:rPr>
        <w:t>1</w:t>
      </w:r>
      <w:r>
        <w:rPr>
          <w:rFonts w:hint="eastAsia" w:ascii="仿宋_GB2312" w:eastAsia="仿宋_GB2312"/>
          <w:color w:val="000000"/>
          <w:sz w:val="32"/>
          <w:szCs w:val="32"/>
        </w:rPr>
        <w:t>万元，增长</w:t>
      </w:r>
      <w:r>
        <w:rPr>
          <w:rFonts w:hint="eastAsia" w:ascii="仿宋_GB2312" w:eastAsia="仿宋_GB2312"/>
          <w:color w:val="000000"/>
          <w:sz w:val="32"/>
          <w:szCs w:val="32"/>
          <w:lang w:val="en-US" w:eastAsia="zh-CN"/>
        </w:rPr>
        <w:t>1</w:t>
      </w:r>
      <w:r>
        <w:rPr>
          <w:rFonts w:hint="default"/>
          <w:color w:val="000000"/>
          <w:sz w:val="32"/>
          <w:szCs w:val="32"/>
          <w:lang w:val="en" w:eastAsia="zh-CN"/>
        </w:rPr>
        <w:t>.56</w:t>
      </w:r>
      <w:r>
        <w:rPr>
          <w:rFonts w:ascii="仿宋_GB2312" w:eastAsia="仿宋_GB2312"/>
          <w:color w:val="000000"/>
          <w:sz w:val="32"/>
          <w:szCs w:val="32"/>
        </w:rPr>
        <w:t>%</w:t>
      </w:r>
      <w:r>
        <w:rPr>
          <w:rFonts w:hint="eastAsia" w:ascii="仿宋_GB2312" w:eastAsia="仿宋_GB2312"/>
          <w:color w:val="000000"/>
          <w:sz w:val="32"/>
          <w:szCs w:val="32"/>
        </w:rPr>
        <w:t>。主要原因是接待活动增多。其中：</w:t>
      </w:r>
    </w:p>
    <w:p>
      <w:pPr>
        <w:keepNext w:val="0"/>
        <w:keepLines w:val="0"/>
        <w:widowControl/>
        <w:suppressLineNumbers w:val="0"/>
        <w:ind w:firstLine="642" w:firstLineChars="200"/>
        <w:jc w:val="left"/>
        <w:rPr>
          <w:rFonts w:hint="eastAsia" w:ascii="Times New Roman" w:hAnsi="Times New Roman" w:eastAsia="方正仿宋_GBK" w:cs="Times New Roman"/>
          <w:b w:val="0"/>
          <w:bCs w:val="0"/>
          <w:sz w:val="33"/>
          <w:szCs w:val="33"/>
          <w:lang w:val="en-US" w:eastAsia="zh-CN"/>
        </w:rPr>
      </w:pPr>
      <w:r>
        <w:rPr>
          <w:rFonts w:hint="eastAsia" w:ascii="仿宋" w:hAnsi="仿宋" w:eastAsia="仿宋"/>
          <w:b/>
          <w:color w:val="000000"/>
          <w:sz w:val="32"/>
          <w:szCs w:val="32"/>
        </w:rPr>
        <w:t>国内公务接待支出</w:t>
      </w:r>
      <w:r>
        <w:rPr>
          <w:rFonts w:hint="eastAsia" w:ascii="仿宋" w:hAnsi="仿宋" w:eastAsia="仿宋"/>
          <w:color w:val="000000"/>
          <w:sz w:val="32"/>
          <w:szCs w:val="32"/>
          <w:lang w:val="en-US" w:eastAsia="zh-CN"/>
        </w:rPr>
        <w:t>0.65</w:t>
      </w:r>
      <w:r>
        <w:rPr>
          <w:rFonts w:hint="eastAsia" w:ascii="仿宋_GB2312" w:eastAsia="仿宋_GB2312"/>
          <w:color w:val="000000"/>
          <w:sz w:val="32"/>
          <w:szCs w:val="32"/>
        </w:rPr>
        <w:t>万元，</w:t>
      </w:r>
      <w:r>
        <w:rPr>
          <w:rFonts w:hint="eastAsia" w:eastAsia="方正仿宋_GBK"/>
          <w:sz w:val="33"/>
          <w:szCs w:val="33"/>
        </w:rPr>
        <w:t>比2020年增加</w:t>
      </w:r>
      <w:r>
        <w:rPr>
          <w:rFonts w:hint="default" w:eastAsia="方正仿宋_GBK"/>
          <w:sz w:val="33"/>
          <w:szCs w:val="33"/>
          <w:lang w:val="en"/>
        </w:rPr>
        <w:t>0.01</w:t>
      </w:r>
      <w:r>
        <w:rPr>
          <w:rFonts w:hint="eastAsia" w:eastAsia="方正仿宋_GBK"/>
          <w:sz w:val="33"/>
          <w:szCs w:val="33"/>
        </w:rPr>
        <w:t>万元，增长</w:t>
      </w:r>
      <w:r>
        <w:rPr>
          <w:rFonts w:hint="default" w:eastAsia="方正仿宋_GBK"/>
          <w:sz w:val="33"/>
          <w:szCs w:val="33"/>
          <w:lang w:val="en"/>
        </w:rPr>
        <w:t>1.56%，</w:t>
      </w:r>
      <w:r>
        <w:rPr>
          <w:rFonts w:hint="eastAsia" w:eastAsia="方正仿宋_GBK"/>
          <w:sz w:val="33"/>
          <w:szCs w:val="33"/>
        </w:rPr>
        <w:t>主要原因是</w:t>
      </w:r>
      <w:r>
        <w:rPr>
          <w:rFonts w:hint="eastAsia" w:ascii="仿宋_GB2312" w:eastAsia="仿宋_GB2312"/>
          <w:color w:val="000000"/>
          <w:sz w:val="32"/>
          <w:szCs w:val="32"/>
        </w:rPr>
        <w:t>用于开展业务活动开支的餐费。</w:t>
      </w:r>
      <w:r>
        <w:rPr>
          <w:rFonts w:hint="eastAsia" w:eastAsia="方正仿宋_GBK"/>
          <w:sz w:val="33"/>
          <w:szCs w:val="33"/>
        </w:rPr>
        <w:t>国内公务接待</w:t>
      </w:r>
      <w:r>
        <w:rPr>
          <w:rFonts w:hint="default" w:eastAsia="方正仿宋_GBK"/>
          <w:sz w:val="33"/>
          <w:szCs w:val="33"/>
          <w:lang w:val="en"/>
        </w:rPr>
        <w:t>6</w:t>
      </w:r>
      <w:r>
        <w:rPr>
          <w:rFonts w:hint="eastAsia" w:eastAsia="方正仿宋_GBK"/>
          <w:sz w:val="33"/>
          <w:szCs w:val="33"/>
        </w:rPr>
        <w:t>批次，</w:t>
      </w:r>
      <w:r>
        <w:rPr>
          <w:rFonts w:hint="default" w:eastAsia="方正仿宋_GBK"/>
          <w:sz w:val="33"/>
          <w:szCs w:val="33"/>
          <w:lang w:val="en"/>
        </w:rPr>
        <w:t>24</w:t>
      </w:r>
      <w:r>
        <w:rPr>
          <w:rFonts w:hint="eastAsia" w:eastAsia="方正仿宋_GBK"/>
          <w:sz w:val="33"/>
          <w:szCs w:val="33"/>
        </w:rPr>
        <w:t>人次（不包括陪同人员），</w:t>
      </w:r>
      <w:r>
        <w:rPr>
          <w:rFonts w:hint="default" w:eastAsia="方正仿宋_GBK"/>
          <w:sz w:val="33"/>
          <w:szCs w:val="33"/>
          <w:lang w:val="en"/>
        </w:rPr>
        <w:t>共计支出0.65万元。具体内容包括：</w:t>
      </w:r>
      <w:r>
        <w:rPr>
          <w:rFonts w:hint="eastAsia" w:ascii="宋体" w:hAnsi="宋体" w:eastAsia="宋体" w:cs="宋体"/>
          <w:i w:val="0"/>
          <w:caps w:val="0"/>
          <w:color w:val="333333"/>
          <w:spacing w:val="0"/>
          <w:kern w:val="0"/>
          <w:sz w:val="24"/>
          <w:szCs w:val="24"/>
          <w:shd w:val="clear" w:fill="FFFFFF"/>
          <w:lang w:val="en-US" w:eastAsia="zh-CN" w:bidi="ar"/>
        </w:rPr>
        <w:t>①</w:t>
      </w:r>
      <w:r>
        <w:rPr>
          <w:rFonts w:hint="eastAsia" w:ascii="Times New Roman" w:hAnsi="Times New Roman" w:eastAsia="方正仿宋_GBK" w:cs="Times New Roman"/>
          <w:b w:val="0"/>
          <w:bCs w:val="0"/>
          <w:sz w:val="33"/>
          <w:szCs w:val="33"/>
          <w:lang w:val="en-US" w:eastAsia="zh-CN"/>
        </w:rPr>
        <w:t>深圳改革开放干部学院到小平干部学院调研座谈，只有调研座谈电话记录，无公函。共产生接待费1235元。</w:t>
      </w:r>
    </w:p>
    <w:p>
      <w:pPr>
        <w:keepNext w:val="0"/>
        <w:keepLines w:val="0"/>
        <w:pageBreakBefore w:val="0"/>
        <w:widowControl/>
        <w:suppressLineNumbers w:val="0"/>
        <w:kinsoku/>
        <w:wordWrap/>
        <w:overflowPunct/>
        <w:topLinePunct w:val="0"/>
        <w:autoSpaceDE/>
        <w:autoSpaceDN/>
        <w:bidi w:val="0"/>
        <w:adjustRightInd/>
        <w:snapToGrid/>
        <w:ind w:firstLine="480" w:firstLineChars="200"/>
        <w:jc w:val="left"/>
        <w:textAlignment w:val="auto"/>
        <w:rPr>
          <w:rFonts w:hint="default" w:ascii="Times New Roman" w:hAnsi="Times New Roman" w:eastAsia="方正仿宋_GBK" w:cs="Times New Roman"/>
          <w:b w:val="0"/>
          <w:bCs w:val="0"/>
          <w:sz w:val="33"/>
          <w:szCs w:val="33"/>
          <w:lang w:val="en-US" w:eastAsia="zh-CN"/>
        </w:rPr>
      </w:pPr>
      <w:r>
        <w:rPr>
          <w:rFonts w:hint="eastAsia" w:ascii="宋体" w:hAnsi="宋体" w:eastAsia="宋体" w:cs="宋体"/>
          <w:i w:val="0"/>
          <w:caps w:val="0"/>
          <w:color w:val="333333"/>
          <w:spacing w:val="0"/>
          <w:kern w:val="0"/>
          <w:sz w:val="24"/>
          <w:szCs w:val="24"/>
          <w:shd w:val="clear" w:fill="FFFFFF"/>
          <w:lang w:val="en-US" w:eastAsia="zh-CN" w:bidi="ar"/>
        </w:rPr>
        <w:t>②</w:t>
      </w:r>
      <w:r>
        <w:rPr>
          <w:rFonts w:hint="eastAsia" w:ascii="Times New Roman" w:hAnsi="Times New Roman" w:eastAsia="方正仿宋_GBK" w:cs="Times New Roman"/>
          <w:b w:val="0"/>
          <w:bCs w:val="0"/>
          <w:sz w:val="33"/>
          <w:szCs w:val="33"/>
          <w:lang w:val="en-US" w:eastAsia="zh-CN"/>
        </w:rPr>
        <w:t>省委党校决策咨询部到小平干部学院开展智库基地建设情况的调研。共产生接待费910元；</w:t>
      </w:r>
    </w:p>
    <w:p>
      <w:pPr>
        <w:keepNext w:val="0"/>
        <w:keepLines w:val="0"/>
        <w:pageBreakBefore w:val="0"/>
        <w:widowControl/>
        <w:suppressLineNumbers w:val="0"/>
        <w:kinsoku/>
        <w:wordWrap/>
        <w:overflowPunct/>
        <w:topLinePunct w:val="0"/>
        <w:autoSpaceDE/>
        <w:autoSpaceDN/>
        <w:bidi w:val="0"/>
        <w:adjustRightInd/>
        <w:snapToGrid/>
        <w:ind w:firstLine="480" w:firstLineChars="200"/>
        <w:jc w:val="left"/>
        <w:textAlignment w:val="auto"/>
        <w:rPr>
          <w:rFonts w:hint="default" w:ascii="Times New Roman" w:hAnsi="Times New Roman" w:eastAsia="方正仿宋_GBK" w:cs="Times New Roman"/>
          <w:b w:val="0"/>
          <w:bCs w:val="0"/>
          <w:sz w:val="33"/>
          <w:szCs w:val="33"/>
          <w:lang w:val="en-US" w:eastAsia="zh-CN"/>
        </w:rPr>
      </w:pPr>
      <w:r>
        <w:rPr>
          <w:rFonts w:hint="eastAsia" w:ascii="宋体" w:hAnsi="宋体" w:eastAsia="宋体" w:cs="宋体"/>
          <w:i w:val="0"/>
          <w:caps w:val="0"/>
          <w:color w:val="333333"/>
          <w:spacing w:val="0"/>
          <w:kern w:val="0"/>
          <w:sz w:val="24"/>
          <w:szCs w:val="24"/>
          <w:shd w:val="clear" w:fill="FFFFFF"/>
          <w:lang w:val="en-US" w:eastAsia="zh-CN" w:bidi="ar"/>
        </w:rPr>
        <w:t>③</w:t>
      </w:r>
      <w:r>
        <w:rPr>
          <w:rFonts w:hint="eastAsia" w:ascii="Times New Roman" w:hAnsi="Times New Roman" w:eastAsia="方正仿宋_GBK" w:cs="Times New Roman"/>
          <w:b w:val="0"/>
          <w:bCs w:val="0"/>
          <w:sz w:val="33"/>
          <w:szCs w:val="33"/>
          <w:lang w:val="en-US" w:eastAsia="zh-CN"/>
        </w:rPr>
        <w:t>中国中化集团到我校考察党史学习教育第三期专题读书班前期准备工作。共产生接待费283元；</w:t>
      </w:r>
    </w:p>
    <w:p>
      <w:pPr>
        <w:keepNext w:val="0"/>
        <w:keepLines w:val="0"/>
        <w:pageBreakBefore w:val="0"/>
        <w:widowControl/>
        <w:suppressLineNumbers w:val="0"/>
        <w:kinsoku/>
        <w:wordWrap/>
        <w:overflowPunct/>
        <w:topLinePunct w:val="0"/>
        <w:autoSpaceDE/>
        <w:autoSpaceDN/>
        <w:bidi w:val="0"/>
        <w:adjustRightInd/>
        <w:snapToGrid/>
        <w:ind w:firstLine="480" w:firstLineChars="200"/>
        <w:jc w:val="left"/>
        <w:textAlignment w:val="auto"/>
        <w:rPr>
          <w:rFonts w:hint="default" w:ascii="Times New Roman" w:hAnsi="Times New Roman" w:eastAsia="方正仿宋_GBK" w:cs="Times New Roman"/>
          <w:b w:val="0"/>
          <w:bCs w:val="0"/>
          <w:sz w:val="33"/>
          <w:szCs w:val="33"/>
          <w:lang w:val="en-US" w:eastAsia="zh-CN"/>
        </w:rPr>
      </w:pPr>
      <w:r>
        <w:rPr>
          <w:rFonts w:hint="eastAsia" w:ascii="宋体" w:hAnsi="宋体" w:eastAsia="宋体" w:cs="宋体"/>
          <w:i w:val="0"/>
          <w:caps w:val="0"/>
          <w:color w:val="333333"/>
          <w:spacing w:val="0"/>
          <w:kern w:val="0"/>
          <w:sz w:val="24"/>
          <w:szCs w:val="24"/>
          <w:shd w:val="clear" w:fill="FFFFFF"/>
          <w:lang w:val="en-US" w:eastAsia="zh-CN" w:bidi="ar"/>
        </w:rPr>
        <w:t>④</w:t>
      </w:r>
      <w:r>
        <w:rPr>
          <w:rFonts w:hint="eastAsia" w:ascii="Times New Roman" w:hAnsi="Times New Roman" w:eastAsia="方正仿宋_GBK" w:cs="Times New Roman"/>
          <w:b w:val="0"/>
          <w:bCs w:val="0"/>
          <w:sz w:val="33"/>
          <w:szCs w:val="33"/>
          <w:lang w:val="en-US" w:eastAsia="zh-CN"/>
        </w:rPr>
        <w:t>攀枝花纪检监察学院到小平干部学院就干部培训相关事项进行交流。共产生接待费1670元；</w:t>
      </w:r>
    </w:p>
    <w:p>
      <w:pPr>
        <w:keepNext w:val="0"/>
        <w:keepLines w:val="0"/>
        <w:pageBreakBefore w:val="0"/>
        <w:widowControl/>
        <w:suppressLineNumbers w:val="0"/>
        <w:kinsoku/>
        <w:wordWrap/>
        <w:overflowPunct/>
        <w:topLinePunct w:val="0"/>
        <w:autoSpaceDE/>
        <w:autoSpaceDN/>
        <w:bidi w:val="0"/>
        <w:adjustRightInd/>
        <w:snapToGrid/>
        <w:ind w:firstLine="480" w:firstLineChars="200"/>
        <w:jc w:val="left"/>
        <w:textAlignment w:val="auto"/>
        <w:rPr>
          <w:rFonts w:hint="default" w:ascii="Times New Roman" w:hAnsi="Times New Roman" w:eastAsia="方正仿宋_GBK" w:cs="Times New Roman"/>
          <w:b w:val="0"/>
          <w:bCs w:val="0"/>
          <w:sz w:val="33"/>
          <w:szCs w:val="33"/>
          <w:lang w:val="en-US" w:eastAsia="zh-CN"/>
        </w:rPr>
      </w:pPr>
      <w:r>
        <w:rPr>
          <w:rFonts w:hint="eastAsia" w:ascii="宋体" w:hAnsi="宋体" w:eastAsia="宋体" w:cs="宋体"/>
          <w:i w:val="0"/>
          <w:caps w:val="0"/>
          <w:color w:val="333333"/>
          <w:spacing w:val="0"/>
          <w:kern w:val="0"/>
          <w:sz w:val="24"/>
          <w:szCs w:val="24"/>
          <w:shd w:val="clear" w:fill="FFFFFF"/>
          <w:lang w:val="en-US" w:eastAsia="zh-CN" w:bidi="ar"/>
        </w:rPr>
        <w:t>⑤</w:t>
      </w:r>
      <w:r>
        <w:rPr>
          <w:rFonts w:hint="eastAsia" w:ascii="Times New Roman" w:hAnsi="Times New Roman" w:eastAsia="方正仿宋_GBK" w:cs="Times New Roman"/>
          <w:b w:val="0"/>
          <w:bCs w:val="0"/>
          <w:sz w:val="33"/>
          <w:szCs w:val="33"/>
          <w:lang w:val="en-US" w:eastAsia="zh-CN"/>
        </w:rPr>
        <w:t>省委党校、四川行政学院一级调研员熊国宝一行到广安调研，根据市委办的安排，我院以市委办调研活动方案接待，无公函，未使用公务卡</w:t>
      </w:r>
      <w:r>
        <w:rPr>
          <w:rFonts w:hint="default" w:ascii="Times New Roman" w:hAnsi="Times New Roman" w:eastAsia="方正仿宋_GBK" w:cs="Times New Roman"/>
          <w:b w:val="0"/>
          <w:bCs w:val="0"/>
          <w:sz w:val="33"/>
          <w:szCs w:val="33"/>
          <w:lang w:val="en" w:eastAsia="zh-CN"/>
        </w:rPr>
        <w:t>（唐伟垫付）</w:t>
      </w:r>
      <w:r>
        <w:rPr>
          <w:rFonts w:hint="eastAsia" w:ascii="Times New Roman" w:hAnsi="Times New Roman" w:eastAsia="方正仿宋_GBK" w:cs="Times New Roman"/>
          <w:b w:val="0"/>
          <w:bCs w:val="0"/>
          <w:sz w:val="33"/>
          <w:szCs w:val="33"/>
          <w:lang w:val="en-US" w:eastAsia="zh-CN"/>
        </w:rPr>
        <w:t>。共产生接待费1200元；</w:t>
      </w:r>
    </w:p>
    <w:p>
      <w:pPr>
        <w:keepNext w:val="0"/>
        <w:keepLines w:val="0"/>
        <w:pageBreakBefore w:val="0"/>
        <w:widowControl/>
        <w:suppressLineNumbers w:val="0"/>
        <w:kinsoku/>
        <w:wordWrap/>
        <w:overflowPunct/>
        <w:topLinePunct w:val="0"/>
        <w:autoSpaceDE/>
        <w:autoSpaceDN/>
        <w:bidi w:val="0"/>
        <w:adjustRightInd/>
        <w:snapToGrid/>
        <w:ind w:firstLine="480" w:firstLineChars="200"/>
        <w:jc w:val="left"/>
        <w:textAlignment w:val="auto"/>
        <w:rPr>
          <w:rFonts w:hint="default" w:ascii="仿宋_GB2312" w:eastAsia="仿宋_GB2312"/>
          <w:color w:val="000000"/>
          <w:sz w:val="32"/>
          <w:szCs w:val="32"/>
          <w:lang w:val="en"/>
        </w:rPr>
      </w:pPr>
      <w:r>
        <w:rPr>
          <w:rFonts w:hint="eastAsia" w:ascii="宋体" w:hAnsi="宋体" w:eastAsia="宋体" w:cs="宋体"/>
          <w:i w:val="0"/>
          <w:caps w:val="0"/>
          <w:color w:val="333333"/>
          <w:spacing w:val="0"/>
          <w:kern w:val="0"/>
          <w:sz w:val="24"/>
          <w:szCs w:val="24"/>
          <w:shd w:val="clear" w:fill="FFFFFF"/>
          <w:lang w:val="en-US" w:eastAsia="zh-CN" w:bidi="ar"/>
        </w:rPr>
        <w:t>⑥</w:t>
      </w:r>
      <w:r>
        <w:rPr>
          <w:rFonts w:hint="eastAsia" w:ascii="Times New Roman" w:hAnsi="Times New Roman" w:eastAsia="方正仿宋_GBK" w:cs="Times New Roman"/>
          <w:b w:val="0"/>
          <w:bCs w:val="0"/>
          <w:sz w:val="33"/>
          <w:szCs w:val="33"/>
          <w:lang w:val="en-US" w:eastAsia="zh-CN"/>
        </w:rPr>
        <w:t>原驻冰岛大使苏格一行来我院考察调研，因情况特殊，只有我院出的考察调研接待方案，无公函。共产生接待费1200元。</w:t>
      </w:r>
    </w:p>
    <w:p>
      <w:pPr>
        <w:spacing w:line="600" w:lineRule="exact"/>
        <w:ind w:firstLine="642" w:firstLineChars="200"/>
        <w:rPr>
          <w:rFonts w:ascii="黑体" w:eastAsia="黑体"/>
          <w:color w:val="000000"/>
          <w:sz w:val="32"/>
          <w:szCs w:val="32"/>
        </w:rPr>
      </w:pPr>
      <w:r>
        <w:rPr>
          <w:rFonts w:hint="eastAsia" w:ascii="仿宋" w:hAnsi="仿宋" w:eastAsia="仿宋"/>
          <w:b/>
          <w:color w:val="000000"/>
          <w:sz w:val="32"/>
          <w:szCs w:val="32"/>
        </w:rPr>
        <w:t>外事接待支出</w:t>
      </w:r>
      <w:r>
        <w:rPr>
          <w:rFonts w:hint="eastAsia" w:ascii="仿宋" w:hAnsi="仿宋" w:eastAsia="仿宋"/>
          <w:color w:val="000000"/>
          <w:sz w:val="32"/>
          <w:szCs w:val="32"/>
          <w:lang w:val="en-US" w:eastAsia="zh-CN"/>
        </w:rPr>
        <w:t>0</w:t>
      </w:r>
      <w:r>
        <w:rPr>
          <w:rFonts w:hint="eastAsia" w:ascii="仿宋_GB2312" w:eastAsia="仿宋_GB2312"/>
          <w:color w:val="000000"/>
          <w:sz w:val="32"/>
          <w:szCs w:val="32"/>
        </w:rPr>
        <w:t>万元</w:t>
      </w:r>
      <w:r>
        <w:rPr>
          <w:rFonts w:hint="eastAsia" w:ascii="仿宋_GB2312" w:eastAsia="仿宋_GB2312"/>
          <w:color w:val="000000"/>
          <w:sz w:val="32"/>
          <w:szCs w:val="32"/>
          <w:lang w:eastAsia="zh-CN"/>
        </w:rPr>
        <w:t>。</w:t>
      </w:r>
      <w:r>
        <w:rPr>
          <w:rFonts w:hint="eastAsia" w:eastAsia="方正仿宋_GBK"/>
          <w:sz w:val="33"/>
          <w:szCs w:val="33"/>
        </w:rPr>
        <w:t>比2020年增加0万元。外事接待0批次，0人，共计支出0万元。</w:t>
      </w:r>
    </w:p>
    <w:p>
      <w:pPr>
        <w:spacing w:line="600" w:lineRule="exact"/>
        <w:ind w:firstLine="640"/>
        <w:outlineLvl w:val="1"/>
        <w:rPr>
          <w:rStyle w:val="26"/>
          <w:rFonts w:ascii="黑体" w:hAnsi="黑体" w:eastAsia="黑体"/>
        </w:rPr>
      </w:pPr>
      <w:bookmarkStart w:id="125" w:name="_Toc1483848794_WPSOffice_Level2"/>
      <w:r>
        <w:rPr>
          <w:rFonts w:hint="eastAsia" w:ascii="黑体" w:eastAsia="黑体"/>
          <w:color w:val="000000"/>
          <w:sz w:val="32"/>
          <w:szCs w:val="32"/>
          <w:lang w:eastAsia="zh-CN"/>
        </w:rPr>
        <w:t>九</w:t>
      </w:r>
      <w:r>
        <w:rPr>
          <w:rFonts w:hint="eastAsia" w:ascii="黑体" w:eastAsia="黑体"/>
          <w:color w:val="000000"/>
          <w:sz w:val="32"/>
          <w:szCs w:val="32"/>
        </w:rPr>
        <w:t>、</w:t>
      </w:r>
      <w:r>
        <w:rPr>
          <w:rStyle w:val="26"/>
          <w:rFonts w:hint="eastAsia" w:ascii="黑体" w:hAnsi="黑体" w:eastAsia="黑体"/>
          <w:b w:val="0"/>
        </w:rPr>
        <w:t>政府性基金预算支出决算情况说明</w:t>
      </w:r>
      <w:bookmarkEnd w:id="123"/>
      <w:bookmarkEnd w:id="124"/>
      <w:bookmarkEnd w:id="125"/>
    </w:p>
    <w:p>
      <w:pPr>
        <w:spacing w:line="600" w:lineRule="exact"/>
        <w:ind w:firstLine="640"/>
        <w:rPr>
          <w:rFonts w:ascii="仿宋_GB2312" w:eastAsia="仿宋_GB2312"/>
          <w:color w:val="000000"/>
          <w:sz w:val="32"/>
          <w:szCs w:val="32"/>
        </w:rPr>
      </w:pPr>
      <w:r>
        <w:rPr>
          <w:rFonts w:ascii="仿宋_GB2312" w:eastAsia="仿宋_GB2312"/>
          <w:color w:val="000000"/>
          <w:sz w:val="32"/>
          <w:szCs w:val="32"/>
        </w:rPr>
        <w:t>20</w:t>
      </w:r>
      <w:r>
        <w:rPr>
          <w:rFonts w:hint="eastAsia" w:ascii="仿宋_GB2312" w:eastAsia="仿宋_GB2312"/>
          <w:color w:val="000000"/>
          <w:sz w:val="32"/>
          <w:szCs w:val="32"/>
        </w:rPr>
        <w:t>2</w:t>
      </w:r>
      <w:r>
        <w:rPr>
          <w:rFonts w:hint="eastAsia" w:ascii="仿宋_GB2312" w:eastAsia="仿宋_GB2312"/>
          <w:color w:val="000000"/>
          <w:sz w:val="32"/>
          <w:szCs w:val="32"/>
          <w:lang w:val="en-US" w:eastAsia="zh-CN"/>
        </w:rPr>
        <w:t>1</w:t>
      </w:r>
      <w:r>
        <w:rPr>
          <w:rFonts w:hint="eastAsia" w:ascii="仿宋_GB2312" w:eastAsia="仿宋_GB2312"/>
          <w:color w:val="000000"/>
          <w:sz w:val="32"/>
          <w:szCs w:val="32"/>
        </w:rPr>
        <w:t>年政府性基金预算拨款支出</w:t>
      </w:r>
      <w:r>
        <w:rPr>
          <w:rFonts w:hint="eastAsia" w:ascii="仿宋_GB2312" w:eastAsia="仿宋_GB2312"/>
          <w:color w:val="000000"/>
          <w:sz w:val="32"/>
          <w:szCs w:val="32"/>
          <w:lang w:val="en-US" w:eastAsia="zh-CN"/>
        </w:rPr>
        <w:t>10101.27</w:t>
      </w:r>
      <w:r>
        <w:rPr>
          <w:rFonts w:hint="eastAsia" w:ascii="仿宋_GB2312" w:eastAsia="仿宋_GB2312"/>
          <w:color w:val="000000"/>
          <w:sz w:val="32"/>
          <w:szCs w:val="32"/>
        </w:rPr>
        <w:t>万元。</w:t>
      </w:r>
    </w:p>
    <w:p>
      <w:pPr>
        <w:numPr>
          <w:ilvl w:val="0"/>
          <w:numId w:val="0"/>
        </w:numPr>
        <w:spacing w:line="600" w:lineRule="exact"/>
        <w:ind w:firstLine="640" w:firstLineChars="200"/>
        <w:outlineLvl w:val="1"/>
        <w:rPr>
          <w:rStyle w:val="26"/>
          <w:rFonts w:ascii="黑体" w:hAnsi="黑体" w:eastAsia="黑体"/>
          <w:b w:val="0"/>
        </w:rPr>
      </w:pPr>
      <w:bookmarkStart w:id="126" w:name="_Toc15377219"/>
      <w:bookmarkStart w:id="127" w:name="_Toc597395485_WPSOffice_Level2"/>
      <w:bookmarkStart w:id="128" w:name="_Toc15396611"/>
      <w:r>
        <w:rPr>
          <w:rStyle w:val="26"/>
          <w:rFonts w:hint="eastAsia" w:ascii="黑体" w:hAnsi="黑体" w:eastAsia="黑体"/>
          <w:b w:val="0"/>
          <w:lang w:eastAsia="zh-CN"/>
        </w:rPr>
        <w:t>十、</w:t>
      </w:r>
      <w:r>
        <w:rPr>
          <w:rStyle w:val="26"/>
          <w:rFonts w:hint="eastAsia" w:ascii="黑体" w:hAnsi="黑体" w:eastAsia="黑体"/>
          <w:b w:val="0"/>
        </w:rPr>
        <w:t>国有资本经营预算支出决算情况说明</w:t>
      </w:r>
      <w:bookmarkEnd w:id="126"/>
      <w:bookmarkEnd w:id="127"/>
      <w:bookmarkEnd w:id="128"/>
    </w:p>
    <w:p>
      <w:pPr>
        <w:spacing w:line="600" w:lineRule="exact"/>
        <w:ind w:firstLine="640"/>
        <w:rPr>
          <w:rFonts w:ascii="方正小标宋简体" w:hAnsi="方正小标宋简体" w:eastAsia="方正小标宋简体" w:cs="方正小标宋简体"/>
          <w:sz w:val="44"/>
          <w:szCs w:val="44"/>
        </w:rPr>
      </w:pPr>
      <w:r>
        <w:rPr>
          <w:rFonts w:ascii="仿宋_GB2312" w:eastAsia="仿宋_GB2312"/>
          <w:color w:val="000000"/>
          <w:sz w:val="32"/>
          <w:szCs w:val="32"/>
        </w:rPr>
        <w:t>20</w:t>
      </w:r>
      <w:r>
        <w:rPr>
          <w:rFonts w:hint="eastAsia" w:ascii="仿宋_GB2312" w:eastAsia="仿宋_GB2312"/>
          <w:color w:val="000000"/>
          <w:sz w:val="32"/>
          <w:szCs w:val="32"/>
        </w:rPr>
        <w:t>2</w:t>
      </w:r>
      <w:r>
        <w:rPr>
          <w:rFonts w:hint="eastAsia" w:ascii="仿宋_GB2312" w:eastAsia="仿宋_GB2312"/>
          <w:color w:val="000000"/>
          <w:sz w:val="32"/>
          <w:szCs w:val="32"/>
          <w:lang w:val="en-US" w:eastAsia="zh-CN"/>
        </w:rPr>
        <w:t>1</w:t>
      </w:r>
      <w:r>
        <w:rPr>
          <w:rFonts w:hint="eastAsia" w:ascii="仿宋_GB2312" w:eastAsia="仿宋_GB2312"/>
          <w:color w:val="000000"/>
          <w:sz w:val="32"/>
          <w:szCs w:val="32"/>
        </w:rPr>
        <w:t>年国有资本经营预算拨款支出</w:t>
      </w:r>
      <w:r>
        <w:rPr>
          <w:rFonts w:hint="eastAsia" w:ascii="仿宋_GB2312" w:eastAsia="仿宋_GB2312"/>
          <w:color w:val="000000"/>
          <w:sz w:val="32"/>
          <w:szCs w:val="32"/>
          <w:lang w:val="en-US" w:eastAsia="zh-CN"/>
        </w:rPr>
        <w:t>0</w:t>
      </w:r>
      <w:r>
        <w:rPr>
          <w:rFonts w:hint="eastAsia" w:ascii="仿宋_GB2312" w:eastAsia="仿宋_GB2312"/>
          <w:color w:val="000000"/>
          <w:sz w:val="32"/>
          <w:szCs w:val="32"/>
        </w:rPr>
        <w:t>万元。</w:t>
      </w:r>
    </w:p>
    <w:p>
      <w:pPr>
        <w:spacing w:line="600" w:lineRule="exact"/>
        <w:ind w:left="0" w:leftChars="0" w:firstLine="640" w:firstLineChars="200"/>
        <w:outlineLvl w:val="1"/>
        <w:rPr>
          <w:rStyle w:val="26"/>
          <w:rFonts w:ascii="黑体" w:hAnsi="黑体" w:eastAsia="黑体"/>
        </w:rPr>
      </w:pPr>
      <w:bookmarkStart w:id="129" w:name="_Toc15396612"/>
      <w:bookmarkStart w:id="130" w:name="_Toc15377221"/>
      <w:bookmarkStart w:id="131" w:name="_Toc1367350056_WPSOffice_Level2"/>
      <w:r>
        <w:rPr>
          <w:rFonts w:hint="eastAsia" w:ascii="黑体" w:hAnsi="黑体" w:eastAsia="黑体"/>
          <w:color w:val="000000"/>
          <w:sz w:val="32"/>
          <w:szCs w:val="32"/>
        </w:rPr>
        <w:t>十</w:t>
      </w:r>
      <w:r>
        <w:rPr>
          <w:rFonts w:hint="eastAsia" w:ascii="黑体" w:hAnsi="黑体" w:eastAsia="黑体"/>
          <w:color w:val="000000"/>
          <w:sz w:val="32"/>
          <w:szCs w:val="32"/>
          <w:lang w:eastAsia="zh-CN"/>
        </w:rPr>
        <w:t>一</w:t>
      </w:r>
      <w:r>
        <w:rPr>
          <w:rStyle w:val="26"/>
          <w:rFonts w:hint="eastAsia" w:ascii="黑体" w:hAnsi="黑体" w:eastAsia="黑体"/>
        </w:rPr>
        <w:t>、</w:t>
      </w:r>
      <w:r>
        <w:rPr>
          <w:rStyle w:val="26"/>
          <w:rFonts w:hint="eastAsia" w:ascii="黑体" w:hAnsi="黑体" w:eastAsia="黑体"/>
          <w:b w:val="0"/>
        </w:rPr>
        <w:t>其他重要事项的情况说明</w:t>
      </w:r>
      <w:bookmarkEnd w:id="129"/>
      <w:bookmarkEnd w:id="130"/>
      <w:bookmarkEnd w:id="131"/>
    </w:p>
    <w:p>
      <w:pPr>
        <w:spacing w:line="600" w:lineRule="exact"/>
        <w:ind w:firstLine="642" w:firstLineChars="200"/>
        <w:outlineLvl w:val="2"/>
        <w:rPr>
          <w:rFonts w:ascii="仿宋" w:hAnsi="仿宋" w:eastAsia="仿宋"/>
          <w:color w:val="000000"/>
          <w:sz w:val="32"/>
          <w:szCs w:val="32"/>
        </w:rPr>
      </w:pPr>
      <w:bookmarkStart w:id="132" w:name="_Toc420866798_WPSOffice_Level3"/>
      <w:bookmarkStart w:id="133" w:name="_Toc15377222"/>
      <w:r>
        <w:rPr>
          <w:rFonts w:hint="eastAsia" w:ascii="仿宋" w:hAnsi="仿宋" w:eastAsia="仿宋"/>
          <w:b/>
          <w:color w:val="000000"/>
          <w:sz w:val="32"/>
          <w:szCs w:val="32"/>
        </w:rPr>
        <w:t>（一）机关运行经费支出情况</w:t>
      </w:r>
      <w:bookmarkEnd w:id="132"/>
      <w:bookmarkEnd w:id="133"/>
    </w:p>
    <w:p>
      <w:pPr>
        <w:spacing w:line="600" w:lineRule="exact"/>
        <w:ind w:firstLine="640" w:firstLineChars="200"/>
        <w:outlineLvl w:val="9"/>
        <w:rPr>
          <w:rFonts w:hint="eastAsia" w:ascii="仿宋_GB2312" w:eastAsia="仿宋_GB2312"/>
          <w:color w:val="000000" w:themeColor="text1"/>
          <w:sz w:val="32"/>
          <w:szCs w:val="32"/>
          <w:highlight w:val="none"/>
          <w:lang w:val="en-US" w:eastAsia="zh-CN"/>
          <w14:textFill>
            <w14:solidFill>
              <w14:schemeClr w14:val="tx1"/>
            </w14:solidFill>
          </w14:textFill>
        </w:rPr>
      </w:pPr>
      <w:r>
        <w:rPr>
          <w:rFonts w:ascii="仿宋_GB2312" w:eastAsia="仿宋_GB2312"/>
          <w:color w:val="000000"/>
          <w:sz w:val="32"/>
          <w:szCs w:val="32"/>
          <w:highlight w:val="none"/>
        </w:rPr>
        <w:t>20</w:t>
      </w:r>
      <w:r>
        <w:rPr>
          <w:rFonts w:hint="eastAsia" w:ascii="仿宋_GB2312" w:eastAsia="仿宋_GB2312"/>
          <w:color w:val="000000"/>
          <w:sz w:val="32"/>
          <w:szCs w:val="32"/>
          <w:highlight w:val="none"/>
        </w:rPr>
        <w:t>2</w:t>
      </w:r>
      <w:r>
        <w:rPr>
          <w:rFonts w:hint="eastAsia" w:ascii="仿宋_GB2312" w:eastAsia="仿宋_GB2312"/>
          <w:color w:val="000000"/>
          <w:sz w:val="32"/>
          <w:szCs w:val="32"/>
          <w:highlight w:val="none"/>
          <w:lang w:val="en-US" w:eastAsia="zh-CN"/>
        </w:rPr>
        <w:t>1</w:t>
      </w:r>
      <w:r>
        <w:rPr>
          <w:rFonts w:hint="eastAsia" w:ascii="仿宋_GB2312" w:eastAsia="仿宋_GB2312"/>
          <w:color w:val="000000"/>
          <w:sz w:val="32"/>
          <w:szCs w:val="32"/>
          <w:highlight w:val="none"/>
        </w:rPr>
        <w:t>年，机关运行经费支出</w:t>
      </w:r>
      <w:r>
        <w:rPr>
          <w:rFonts w:hint="eastAsia" w:ascii="仿宋" w:hAnsi="仿宋" w:eastAsia="仿宋"/>
          <w:color w:val="000000"/>
          <w:sz w:val="32"/>
          <w:szCs w:val="32"/>
          <w:lang w:val="en-US" w:eastAsia="zh-CN"/>
        </w:rPr>
        <w:t>3703.94</w:t>
      </w:r>
      <w:r>
        <w:rPr>
          <w:rFonts w:hint="eastAsia" w:ascii="仿宋_GB2312" w:eastAsia="仿宋_GB2312"/>
          <w:color w:val="000000"/>
          <w:sz w:val="32"/>
          <w:szCs w:val="32"/>
          <w:highlight w:val="none"/>
        </w:rPr>
        <w:t>万元，比</w:t>
      </w:r>
      <w:r>
        <w:rPr>
          <w:rFonts w:ascii="仿宋_GB2312" w:eastAsia="仿宋_GB2312"/>
          <w:color w:val="000000"/>
          <w:sz w:val="32"/>
          <w:szCs w:val="32"/>
          <w:highlight w:val="none"/>
        </w:rPr>
        <w:t>20</w:t>
      </w:r>
      <w:r>
        <w:rPr>
          <w:rFonts w:hint="eastAsia" w:ascii="仿宋_GB2312" w:eastAsia="仿宋_GB2312"/>
          <w:color w:val="000000"/>
          <w:sz w:val="32"/>
          <w:szCs w:val="32"/>
          <w:highlight w:val="none"/>
          <w:lang w:val="en-US" w:eastAsia="zh-CN"/>
        </w:rPr>
        <w:t>20</w:t>
      </w:r>
      <w:r>
        <w:rPr>
          <w:rFonts w:hint="eastAsia" w:ascii="仿宋_GB2312" w:eastAsia="仿宋_GB2312"/>
          <w:color w:val="000000"/>
          <w:sz w:val="32"/>
          <w:szCs w:val="32"/>
          <w:highlight w:val="none"/>
        </w:rPr>
        <w:t>年增加</w:t>
      </w:r>
      <w:r>
        <w:rPr>
          <w:rFonts w:hint="eastAsia" w:ascii="仿宋_GB2312" w:eastAsia="仿宋_GB2312"/>
          <w:color w:val="000000"/>
          <w:sz w:val="32"/>
          <w:szCs w:val="32"/>
          <w:highlight w:val="none"/>
          <w:lang w:val="en-US" w:eastAsia="zh-CN"/>
        </w:rPr>
        <w:t>1372.73</w:t>
      </w:r>
      <w:r>
        <w:rPr>
          <w:rFonts w:hint="eastAsia" w:ascii="仿宋_GB2312" w:eastAsia="仿宋_GB2312"/>
          <w:color w:val="000000"/>
          <w:sz w:val="32"/>
          <w:szCs w:val="32"/>
          <w:highlight w:val="none"/>
        </w:rPr>
        <w:t>万元，增长</w:t>
      </w:r>
      <w:r>
        <w:rPr>
          <w:rFonts w:hint="eastAsia" w:ascii="仿宋_GB2312" w:eastAsia="仿宋_GB2312"/>
          <w:color w:val="000000"/>
          <w:sz w:val="32"/>
          <w:szCs w:val="32"/>
          <w:highlight w:val="none"/>
          <w:lang w:val="en-US" w:eastAsia="zh-CN"/>
        </w:rPr>
        <w:t>58.88</w:t>
      </w:r>
      <w:r>
        <w:rPr>
          <w:rFonts w:ascii="仿宋_GB2312" w:eastAsia="仿宋_GB2312"/>
          <w:color w:val="000000"/>
          <w:sz w:val="32"/>
          <w:szCs w:val="32"/>
          <w:highlight w:val="none"/>
        </w:rPr>
        <w:t>%</w:t>
      </w:r>
      <w:r>
        <w:rPr>
          <w:rFonts w:hint="eastAsia" w:ascii="仿宋_GB2312" w:eastAsia="仿宋_GB2312"/>
          <w:color w:val="000000"/>
          <w:sz w:val="32"/>
          <w:szCs w:val="32"/>
          <w:highlight w:val="none"/>
        </w:rPr>
        <w:t>。</w:t>
      </w:r>
      <w:r>
        <w:rPr>
          <w:rFonts w:hint="eastAsia" w:ascii="仿宋" w:hAnsi="仿宋" w:eastAsia="仿宋"/>
          <w:color w:val="000000"/>
          <w:sz w:val="32"/>
          <w:szCs w:val="32"/>
          <w:highlight w:val="none"/>
          <w:lang w:eastAsia="zh-CN"/>
        </w:rPr>
        <w:t>培训量增加、培训开支较大</w:t>
      </w:r>
      <w:r>
        <w:rPr>
          <w:rFonts w:hint="eastAsia" w:ascii="仿宋_GB2312" w:eastAsia="仿宋_GB2312"/>
          <w:color w:val="000000" w:themeColor="text1"/>
          <w:sz w:val="32"/>
          <w:szCs w:val="32"/>
          <w:highlight w:val="none"/>
          <w:lang w:eastAsia="zh-CN"/>
          <w14:textFill>
            <w14:solidFill>
              <w14:schemeClr w14:val="tx1"/>
            </w14:solidFill>
          </w14:textFill>
        </w:rPr>
        <w:t>。</w:t>
      </w:r>
    </w:p>
    <w:p>
      <w:pPr>
        <w:spacing w:line="600" w:lineRule="exact"/>
        <w:ind w:firstLine="642" w:firstLineChars="200"/>
        <w:rPr>
          <w:rFonts w:ascii="仿宋" w:hAnsi="仿宋" w:eastAsia="仿宋"/>
          <w:b/>
          <w:color w:val="FF0000"/>
          <w:sz w:val="32"/>
          <w:szCs w:val="32"/>
        </w:rPr>
      </w:pPr>
      <w:r>
        <w:rPr>
          <w:rFonts w:hint="eastAsia" w:ascii="仿宋" w:hAnsi="仿宋" w:eastAsia="仿宋"/>
          <w:b/>
          <w:color w:val="FF0000"/>
          <w:sz w:val="32"/>
          <w:szCs w:val="32"/>
        </w:rPr>
        <w:t>（注：数据来源于财决附</w:t>
      </w:r>
      <w:r>
        <w:rPr>
          <w:rFonts w:ascii="仿宋" w:hAnsi="仿宋" w:eastAsia="仿宋"/>
          <w:b/>
          <w:color w:val="FF0000"/>
          <w:sz w:val="32"/>
          <w:szCs w:val="32"/>
        </w:rPr>
        <w:t>03</w:t>
      </w:r>
      <w:r>
        <w:rPr>
          <w:rFonts w:hint="eastAsia" w:ascii="仿宋" w:hAnsi="仿宋" w:eastAsia="仿宋"/>
          <w:b/>
          <w:color w:val="FF0000"/>
          <w:sz w:val="32"/>
          <w:szCs w:val="32"/>
        </w:rPr>
        <w:t>表）</w:t>
      </w:r>
    </w:p>
    <w:p>
      <w:pPr>
        <w:autoSpaceDE w:val="0"/>
        <w:autoSpaceDN w:val="0"/>
        <w:adjustRightInd w:val="0"/>
        <w:spacing w:line="600" w:lineRule="exact"/>
        <w:ind w:firstLine="642" w:firstLineChars="200"/>
        <w:jc w:val="left"/>
        <w:outlineLvl w:val="2"/>
        <w:rPr>
          <w:rFonts w:ascii="仿宋" w:hAnsi="仿宋" w:eastAsia="仿宋"/>
          <w:b/>
          <w:color w:val="000000"/>
          <w:sz w:val="32"/>
          <w:szCs w:val="32"/>
        </w:rPr>
      </w:pPr>
      <w:bookmarkStart w:id="134" w:name="_Toc15377223"/>
      <w:bookmarkStart w:id="135" w:name="_Toc187644787_WPSOffice_Level3"/>
      <w:r>
        <w:rPr>
          <w:rFonts w:hint="eastAsia" w:ascii="仿宋" w:hAnsi="仿宋" w:eastAsia="仿宋"/>
          <w:b/>
          <w:color w:val="000000"/>
          <w:sz w:val="32"/>
          <w:szCs w:val="32"/>
        </w:rPr>
        <w:t>（二）政府采购支出情况</w:t>
      </w:r>
      <w:bookmarkEnd w:id="134"/>
      <w:bookmarkEnd w:id="135"/>
    </w:p>
    <w:p>
      <w:pPr>
        <w:spacing w:line="600" w:lineRule="exact"/>
        <w:ind w:firstLine="640" w:firstLineChars="200"/>
        <w:rPr>
          <w:rFonts w:ascii="仿宋_GB2312" w:eastAsia="仿宋_GB2312"/>
          <w:color w:val="000000"/>
          <w:sz w:val="32"/>
          <w:szCs w:val="32"/>
        </w:rPr>
      </w:pPr>
      <w:r>
        <w:rPr>
          <w:rFonts w:ascii="仿宋_GB2312" w:eastAsia="仿宋_GB2312"/>
          <w:color w:val="000000"/>
          <w:sz w:val="32"/>
          <w:szCs w:val="32"/>
        </w:rPr>
        <w:t>20</w:t>
      </w:r>
      <w:r>
        <w:rPr>
          <w:rFonts w:hint="eastAsia" w:ascii="仿宋_GB2312" w:eastAsia="仿宋_GB2312"/>
          <w:color w:val="000000"/>
          <w:sz w:val="32"/>
          <w:szCs w:val="32"/>
        </w:rPr>
        <w:t>2</w:t>
      </w:r>
      <w:r>
        <w:rPr>
          <w:rFonts w:hint="eastAsia" w:ascii="仿宋_GB2312" w:eastAsia="仿宋_GB2312"/>
          <w:color w:val="000000"/>
          <w:sz w:val="32"/>
          <w:szCs w:val="32"/>
          <w:lang w:val="en-US" w:eastAsia="zh-CN"/>
        </w:rPr>
        <w:t>1</w:t>
      </w:r>
      <w:r>
        <w:rPr>
          <w:rFonts w:hint="eastAsia" w:ascii="仿宋_GB2312" w:eastAsia="仿宋_GB2312"/>
          <w:color w:val="000000"/>
          <w:sz w:val="32"/>
          <w:szCs w:val="32"/>
        </w:rPr>
        <w:t>年，政府采购支出总额</w:t>
      </w:r>
      <w:r>
        <w:rPr>
          <w:rFonts w:hint="eastAsia" w:ascii="仿宋_GB2312" w:eastAsia="仿宋_GB2312"/>
          <w:color w:val="000000"/>
          <w:sz w:val="32"/>
          <w:szCs w:val="32"/>
          <w:lang w:val="en-US" w:eastAsia="zh-CN"/>
        </w:rPr>
        <w:t>0</w:t>
      </w:r>
      <w:r>
        <w:rPr>
          <w:rFonts w:hint="eastAsia" w:ascii="仿宋_GB2312" w:eastAsia="仿宋_GB2312"/>
          <w:color w:val="000000"/>
          <w:sz w:val="32"/>
          <w:szCs w:val="32"/>
        </w:rPr>
        <w:t>万元。</w:t>
      </w:r>
    </w:p>
    <w:p>
      <w:pPr>
        <w:spacing w:line="600" w:lineRule="exact"/>
        <w:ind w:firstLine="642" w:firstLineChars="200"/>
        <w:rPr>
          <w:rFonts w:ascii="仿宋" w:hAnsi="仿宋" w:eastAsia="仿宋"/>
          <w:b/>
          <w:color w:val="FF0000"/>
          <w:sz w:val="32"/>
          <w:szCs w:val="32"/>
        </w:rPr>
      </w:pPr>
      <w:r>
        <w:rPr>
          <w:rFonts w:hint="eastAsia" w:ascii="仿宋" w:hAnsi="仿宋" w:eastAsia="仿宋"/>
          <w:b/>
          <w:color w:val="FF0000"/>
          <w:sz w:val="32"/>
          <w:szCs w:val="32"/>
        </w:rPr>
        <w:t>（注：数据来源于财决附</w:t>
      </w:r>
      <w:r>
        <w:rPr>
          <w:rFonts w:ascii="仿宋" w:hAnsi="仿宋" w:eastAsia="仿宋"/>
          <w:b/>
          <w:color w:val="FF0000"/>
          <w:sz w:val="32"/>
          <w:szCs w:val="32"/>
        </w:rPr>
        <w:t>03</w:t>
      </w:r>
      <w:r>
        <w:rPr>
          <w:rFonts w:hint="eastAsia" w:ascii="仿宋" w:hAnsi="仿宋" w:eastAsia="仿宋"/>
          <w:b/>
          <w:color w:val="FF0000"/>
          <w:sz w:val="32"/>
          <w:szCs w:val="32"/>
        </w:rPr>
        <w:t>表）</w:t>
      </w:r>
    </w:p>
    <w:p>
      <w:pPr>
        <w:autoSpaceDE w:val="0"/>
        <w:autoSpaceDN w:val="0"/>
        <w:adjustRightInd w:val="0"/>
        <w:spacing w:line="600" w:lineRule="exact"/>
        <w:ind w:firstLine="642" w:firstLineChars="200"/>
        <w:jc w:val="left"/>
        <w:outlineLvl w:val="2"/>
        <w:rPr>
          <w:rFonts w:ascii="仿宋" w:hAnsi="仿宋" w:eastAsia="仿宋"/>
          <w:b/>
          <w:color w:val="000000"/>
          <w:sz w:val="32"/>
          <w:szCs w:val="32"/>
        </w:rPr>
      </w:pPr>
      <w:bookmarkStart w:id="136" w:name="_Toc350575122_WPSOffice_Level3"/>
      <w:bookmarkStart w:id="137" w:name="_Toc15377224"/>
      <w:r>
        <w:rPr>
          <w:rFonts w:hint="eastAsia" w:ascii="仿宋" w:hAnsi="仿宋" w:eastAsia="仿宋"/>
          <w:b/>
          <w:color w:val="000000"/>
          <w:sz w:val="32"/>
          <w:szCs w:val="32"/>
        </w:rPr>
        <w:t>（三）国有资产占有使用情况</w:t>
      </w:r>
      <w:bookmarkEnd w:id="136"/>
      <w:bookmarkEnd w:id="137"/>
    </w:p>
    <w:p>
      <w:pPr>
        <w:autoSpaceDE w:val="0"/>
        <w:autoSpaceDN w:val="0"/>
        <w:adjustRightInd w:val="0"/>
        <w:spacing w:line="600" w:lineRule="exact"/>
        <w:ind w:firstLine="640" w:firstLineChars="200"/>
        <w:jc w:val="left"/>
        <w:rPr>
          <w:rFonts w:ascii="仿宋" w:hAnsi="仿宋" w:eastAsia="仿宋"/>
          <w:b/>
          <w:color w:val="FF0000"/>
          <w:sz w:val="32"/>
          <w:szCs w:val="32"/>
        </w:rPr>
      </w:pPr>
      <w:r>
        <w:rPr>
          <w:rFonts w:hint="eastAsia" w:ascii="仿宋_GB2312" w:eastAsia="仿宋_GB2312"/>
          <w:color w:val="000000"/>
          <w:sz w:val="32"/>
          <w:szCs w:val="32"/>
        </w:rPr>
        <w:t>截至</w:t>
      </w:r>
      <w:r>
        <w:rPr>
          <w:rFonts w:ascii="仿宋_GB2312" w:eastAsia="仿宋_GB2312"/>
          <w:color w:val="000000"/>
          <w:sz w:val="32"/>
          <w:szCs w:val="32"/>
        </w:rPr>
        <w:t>20</w:t>
      </w:r>
      <w:r>
        <w:rPr>
          <w:rFonts w:hint="eastAsia" w:ascii="仿宋_GB2312" w:eastAsia="仿宋_GB2312"/>
          <w:color w:val="000000"/>
          <w:sz w:val="32"/>
          <w:szCs w:val="32"/>
        </w:rPr>
        <w:t>2</w:t>
      </w:r>
      <w:r>
        <w:rPr>
          <w:rFonts w:hint="eastAsia" w:ascii="仿宋_GB2312" w:eastAsia="仿宋_GB2312"/>
          <w:color w:val="000000"/>
          <w:sz w:val="32"/>
          <w:szCs w:val="32"/>
          <w:lang w:val="en-US" w:eastAsia="zh-CN"/>
        </w:rPr>
        <w:t>1</w:t>
      </w:r>
      <w:r>
        <w:rPr>
          <w:rFonts w:hint="eastAsia" w:ascii="仿宋_GB2312" w:eastAsia="仿宋_GB2312"/>
          <w:color w:val="000000"/>
          <w:sz w:val="32"/>
          <w:szCs w:val="32"/>
        </w:rPr>
        <w:t>年</w:t>
      </w:r>
      <w:r>
        <w:rPr>
          <w:rFonts w:ascii="仿宋_GB2312" w:eastAsia="仿宋_GB2312"/>
          <w:color w:val="000000"/>
          <w:sz w:val="32"/>
          <w:szCs w:val="32"/>
        </w:rPr>
        <w:t>12</w:t>
      </w:r>
      <w:r>
        <w:rPr>
          <w:rFonts w:hint="eastAsia" w:ascii="仿宋_GB2312" w:eastAsia="仿宋_GB2312"/>
          <w:color w:val="000000"/>
          <w:sz w:val="32"/>
          <w:szCs w:val="32"/>
        </w:rPr>
        <w:t>月</w:t>
      </w:r>
      <w:r>
        <w:rPr>
          <w:rFonts w:ascii="仿宋_GB2312" w:eastAsia="仿宋_GB2312"/>
          <w:color w:val="000000"/>
          <w:sz w:val="32"/>
          <w:szCs w:val="32"/>
        </w:rPr>
        <w:t>31</w:t>
      </w:r>
      <w:r>
        <w:rPr>
          <w:rFonts w:hint="eastAsia" w:ascii="仿宋_GB2312" w:eastAsia="仿宋_GB2312"/>
          <w:color w:val="000000"/>
          <w:sz w:val="32"/>
          <w:szCs w:val="32"/>
        </w:rPr>
        <w:t>日，共有车辆</w:t>
      </w:r>
      <w:r>
        <w:rPr>
          <w:rFonts w:hint="eastAsia" w:ascii="仿宋_GB2312" w:eastAsia="仿宋_GB2312"/>
          <w:color w:val="000000"/>
          <w:sz w:val="32"/>
          <w:szCs w:val="32"/>
          <w:lang w:val="en-US" w:eastAsia="zh-CN"/>
        </w:rPr>
        <w:t>0</w:t>
      </w:r>
      <w:r>
        <w:rPr>
          <w:rFonts w:hint="eastAsia" w:ascii="仿宋_GB2312" w:eastAsia="仿宋_GB2312"/>
          <w:color w:val="000000"/>
          <w:sz w:val="32"/>
          <w:szCs w:val="32"/>
        </w:rPr>
        <w:t>辆。</w:t>
      </w:r>
      <w:r>
        <w:rPr>
          <w:rFonts w:hint="eastAsia" w:ascii="仿宋" w:hAnsi="仿宋" w:eastAsia="仿宋"/>
          <w:b/>
          <w:color w:val="FF0000"/>
          <w:sz w:val="32"/>
          <w:szCs w:val="32"/>
        </w:rPr>
        <w:t>（注：数据来源财决附</w:t>
      </w:r>
      <w:r>
        <w:rPr>
          <w:rFonts w:ascii="仿宋" w:hAnsi="仿宋" w:eastAsia="仿宋"/>
          <w:b/>
          <w:color w:val="FF0000"/>
          <w:sz w:val="32"/>
          <w:szCs w:val="32"/>
        </w:rPr>
        <w:t>03</w:t>
      </w:r>
      <w:r>
        <w:rPr>
          <w:rFonts w:hint="eastAsia" w:ascii="仿宋" w:hAnsi="仿宋" w:eastAsia="仿宋"/>
          <w:b/>
          <w:color w:val="FF0000"/>
          <w:sz w:val="32"/>
          <w:szCs w:val="32"/>
        </w:rPr>
        <w:t>表，按部门决算报表填报数据罗列车辆情况。）</w:t>
      </w:r>
    </w:p>
    <w:p>
      <w:pPr>
        <w:autoSpaceDE w:val="0"/>
        <w:autoSpaceDN w:val="0"/>
        <w:adjustRightInd w:val="0"/>
        <w:spacing w:line="600" w:lineRule="exact"/>
        <w:ind w:firstLine="642" w:firstLineChars="200"/>
        <w:jc w:val="left"/>
        <w:outlineLvl w:val="2"/>
        <w:rPr>
          <w:rFonts w:ascii="仿宋" w:hAnsi="仿宋" w:eastAsia="仿宋"/>
          <w:b/>
          <w:color w:val="000000"/>
          <w:sz w:val="32"/>
          <w:szCs w:val="32"/>
        </w:rPr>
      </w:pPr>
      <w:bookmarkStart w:id="138" w:name="_Toc1483848794_WPSOffice_Level3"/>
      <w:r>
        <w:rPr>
          <w:rFonts w:hint="eastAsia" w:ascii="仿宋" w:hAnsi="仿宋" w:eastAsia="仿宋"/>
          <w:b/>
          <w:color w:val="000000"/>
          <w:sz w:val="32"/>
          <w:szCs w:val="32"/>
        </w:rPr>
        <w:t>（四）预算绩效管理情况。</w:t>
      </w:r>
      <w:bookmarkEnd w:id="138"/>
    </w:p>
    <w:p>
      <w:pPr>
        <w:spacing w:line="58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本部门按要求对202</w:t>
      </w:r>
      <w:r>
        <w:rPr>
          <w:rFonts w:hint="eastAsia" w:ascii="仿宋_GB2312" w:hAnsi="仿宋_GB2312" w:eastAsia="仿宋_GB2312" w:cs="仿宋_GB2312"/>
          <w:sz w:val="32"/>
          <w:szCs w:val="32"/>
          <w:lang w:val="en-US" w:eastAsia="zh-CN"/>
        </w:rPr>
        <w:t>1</w:t>
      </w:r>
      <w:r>
        <w:rPr>
          <w:rFonts w:hint="eastAsia" w:ascii="仿宋_GB2312" w:hAnsi="仿宋_GB2312" w:eastAsia="仿宋_GB2312" w:cs="仿宋_GB2312"/>
          <w:sz w:val="32"/>
          <w:szCs w:val="32"/>
        </w:rPr>
        <w:t>年部门整体支出开展绩效自评，从评价情况来看</w:t>
      </w:r>
      <w:r>
        <w:rPr>
          <w:rFonts w:hint="eastAsia" w:ascii="方正仿宋_GBK" w:hAnsi="宋体" w:eastAsia="方正仿宋_GBK" w:cs="宋体"/>
          <w:color w:val="000000"/>
          <w:kern w:val="0"/>
          <w:sz w:val="33"/>
          <w:szCs w:val="33"/>
          <w:shd w:val="clear" w:color="auto" w:fill="FFFFFF"/>
          <w:lang w:val="zh-CN"/>
        </w:rPr>
        <w:t>部门参照去年运行情况与今年实际状况编制严格编制整体绩效目标；执行时按照资金分配时效，支出与年初预算相结合，年末结余差距小，</w:t>
      </w:r>
      <w:r>
        <w:rPr>
          <w:rFonts w:hint="eastAsia" w:ascii="方正仿宋_GBK" w:hAnsi="宋体" w:eastAsia="方正仿宋_GBK" w:cs="宋体"/>
          <w:color w:val="000000"/>
          <w:kern w:val="0"/>
          <w:sz w:val="33"/>
          <w:szCs w:val="33"/>
          <w:shd w:val="clear" w:color="auto" w:fill="FFFFFF"/>
        </w:rPr>
        <w:t>202</w:t>
      </w:r>
      <w:r>
        <w:rPr>
          <w:rFonts w:hint="eastAsia" w:ascii="方正仿宋_GBK" w:hAnsi="宋体" w:eastAsia="方正仿宋_GBK" w:cs="宋体"/>
          <w:color w:val="000000"/>
          <w:kern w:val="0"/>
          <w:sz w:val="33"/>
          <w:szCs w:val="33"/>
          <w:shd w:val="clear" w:color="auto" w:fill="FFFFFF"/>
          <w:lang w:val="en-US" w:eastAsia="zh-CN"/>
        </w:rPr>
        <w:t>1</w:t>
      </w:r>
      <w:r>
        <w:rPr>
          <w:rFonts w:hint="eastAsia" w:ascii="方正仿宋_GBK" w:hAnsi="宋体" w:eastAsia="方正仿宋_GBK" w:cs="宋体"/>
          <w:color w:val="000000"/>
          <w:kern w:val="0"/>
          <w:sz w:val="33"/>
          <w:szCs w:val="33"/>
          <w:shd w:val="clear" w:color="auto" w:fill="FFFFFF"/>
        </w:rPr>
        <w:t>年总收入与总支出偏差率</w:t>
      </w:r>
      <w:r>
        <w:rPr>
          <w:rFonts w:hint="eastAsia" w:ascii="方正仿宋_GBK" w:hAnsi="宋体" w:eastAsia="方正仿宋_GBK" w:cs="宋体"/>
          <w:color w:val="000000"/>
          <w:kern w:val="0"/>
          <w:sz w:val="33"/>
          <w:szCs w:val="33"/>
          <w:shd w:val="clear" w:color="auto" w:fill="FFFFFF"/>
          <w:lang w:eastAsia="zh-CN"/>
        </w:rPr>
        <w:t>较少</w:t>
      </w:r>
      <w:r>
        <w:rPr>
          <w:rFonts w:hint="eastAsia" w:ascii="方正仿宋_GBK" w:hAnsi="宋体" w:eastAsia="方正仿宋_GBK" w:cs="宋体"/>
          <w:color w:val="000000"/>
          <w:kern w:val="0"/>
          <w:sz w:val="33"/>
          <w:szCs w:val="33"/>
          <w:shd w:val="clear" w:color="auto" w:fill="FFFFFF"/>
        </w:rPr>
        <w:t>，完成情况良好；</w:t>
      </w:r>
      <w:r>
        <w:rPr>
          <w:rFonts w:hint="eastAsia" w:ascii="方正仿宋_GBK" w:hAnsi="宋体" w:eastAsia="方正仿宋_GBK" w:cs="宋体"/>
          <w:color w:val="000000"/>
          <w:kern w:val="0"/>
          <w:sz w:val="33"/>
          <w:szCs w:val="33"/>
          <w:shd w:val="clear" w:color="auto" w:fill="FFFFFF"/>
          <w:lang w:val="zh-CN"/>
        </w:rPr>
        <w:t>部门整体绩效效果较好，自查得分</w:t>
      </w:r>
      <w:r>
        <w:rPr>
          <w:rFonts w:hint="default" w:ascii="Times New Roman" w:hAnsi="Times New Roman" w:eastAsia="方正仿宋_GBK" w:cs="Times New Roman"/>
          <w:color w:val="000000"/>
          <w:kern w:val="0"/>
          <w:sz w:val="33"/>
          <w:szCs w:val="33"/>
          <w:shd w:val="clear" w:color="auto" w:fill="FFFFFF"/>
          <w:lang w:val="en-US" w:eastAsia="zh-CN"/>
        </w:rPr>
        <w:t>82.06</w:t>
      </w:r>
      <w:r>
        <w:rPr>
          <w:rFonts w:hint="eastAsia" w:ascii="方正仿宋_GBK" w:hAnsi="宋体" w:eastAsia="方正仿宋_GBK" w:cs="宋体"/>
          <w:color w:val="000000"/>
          <w:kern w:val="0"/>
          <w:sz w:val="33"/>
          <w:szCs w:val="33"/>
          <w:shd w:val="clear" w:color="auto" w:fill="FFFFFF"/>
          <w:lang w:val="zh-CN"/>
        </w:rPr>
        <w:t>分（总分为</w:t>
      </w:r>
      <w:r>
        <w:rPr>
          <w:rFonts w:hint="eastAsia" w:ascii="方正仿宋_GBK" w:hAnsi="宋体" w:eastAsia="方正仿宋_GBK" w:cs="宋体"/>
          <w:color w:val="000000"/>
          <w:kern w:val="0"/>
          <w:sz w:val="33"/>
          <w:szCs w:val="33"/>
          <w:shd w:val="clear" w:color="auto" w:fill="FFFFFF"/>
        </w:rPr>
        <w:t>90分</w:t>
      </w:r>
      <w:r>
        <w:rPr>
          <w:rFonts w:hint="eastAsia" w:ascii="方正仿宋_GBK" w:hAnsi="宋体" w:eastAsia="方正仿宋_GBK" w:cs="宋体"/>
          <w:color w:val="000000"/>
          <w:kern w:val="0"/>
          <w:sz w:val="33"/>
          <w:szCs w:val="33"/>
          <w:shd w:val="clear" w:color="auto" w:fill="FFFFFF"/>
          <w:lang w:val="zh-CN"/>
        </w:rPr>
        <w:t>）。</w:t>
      </w:r>
    </w:p>
    <w:p>
      <w:pPr>
        <w:rPr>
          <w:rFonts w:ascii="仿宋_GB2312" w:hAnsi="仿宋_GB2312" w:eastAsia="仿宋_GB2312" w:cs="仿宋_GB2312"/>
          <w:sz w:val="32"/>
          <w:szCs w:val="32"/>
        </w:rPr>
      </w:pPr>
      <w:r>
        <w:rPr>
          <w:rFonts w:ascii="仿宋_GB2312" w:hAnsi="仿宋_GB2312" w:eastAsia="仿宋_GB2312" w:cs="仿宋_GB2312"/>
          <w:sz w:val="32"/>
          <w:szCs w:val="32"/>
        </w:rPr>
        <w:br w:type="page"/>
      </w:r>
    </w:p>
    <w:p>
      <w:pPr>
        <w:pStyle w:val="9"/>
      </w:pPr>
    </w:p>
    <w:tbl>
      <w:tblPr>
        <w:tblStyle w:val="13"/>
        <w:tblW w:w="5000" w:type="pct"/>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604"/>
        <w:gridCol w:w="467"/>
        <w:gridCol w:w="458"/>
        <w:gridCol w:w="741"/>
        <w:gridCol w:w="748"/>
        <w:gridCol w:w="445"/>
        <w:gridCol w:w="456"/>
        <w:gridCol w:w="573"/>
        <w:gridCol w:w="553"/>
        <w:gridCol w:w="553"/>
        <w:gridCol w:w="452"/>
        <w:gridCol w:w="1028"/>
        <w:gridCol w:w="439"/>
        <w:gridCol w:w="1487"/>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0" w:hRule="atLeast"/>
          <w:jc w:val="center"/>
        </w:trPr>
        <w:tc>
          <w:tcPr>
            <w:tcW w:w="5000" w:type="pct"/>
            <w:gridSpan w:val="14"/>
            <w:tcBorders>
              <w:top w:val="single" w:color="4684D3" w:sz="0" w:space="0"/>
              <w:left w:val="single" w:color="4684D3" w:sz="0" w:space="0"/>
              <w:bottom w:val="single" w:color="DDDDDD" w:sz="0" w:space="0"/>
              <w:right w:val="single" w:color="DDDDDD" w:sz="0" w:space="0"/>
            </w:tcBorders>
            <w:shd w:val="clear" w:color="auto" w:fill="4684D3"/>
            <w:noWrap w:val="0"/>
            <w:vAlign w:val="center"/>
          </w:tcPr>
          <w:p>
            <w:pPr>
              <w:keepNext w:val="0"/>
              <w:keepLines w:val="0"/>
              <w:pageBreakBefore w:val="0"/>
              <w:widowControl/>
              <w:kinsoku/>
              <w:wordWrap/>
              <w:overflowPunct/>
              <w:topLinePunct w:val="0"/>
              <w:autoSpaceDE/>
              <w:autoSpaceDN/>
              <w:bidi w:val="0"/>
              <w:adjustRightInd/>
              <w:snapToGrid/>
              <w:spacing w:line="320" w:lineRule="exact"/>
              <w:jc w:val="center"/>
              <w:textAlignment w:val="auto"/>
              <w:rPr>
                <w:rFonts w:hint="eastAsia" w:ascii="宋体" w:hAnsi="宋体" w:eastAsia="宋体" w:cs="宋体"/>
                <w:b/>
                <w:bCs/>
                <w:i w:val="0"/>
                <w:iCs w:val="0"/>
                <w:color w:val="000000"/>
                <w:sz w:val="21"/>
                <w:szCs w:val="21"/>
                <w:u w:val="none"/>
              </w:rPr>
            </w:pPr>
            <w:r>
              <w:rPr>
                <w:rFonts w:hint="eastAsia" w:ascii="宋体" w:hAnsi="宋体" w:eastAsia="宋体" w:cs="宋体"/>
                <w:b/>
                <w:bCs/>
                <w:i w:val="0"/>
                <w:iCs w:val="0"/>
                <w:color w:val="000000"/>
                <w:kern w:val="0"/>
                <w:sz w:val="28"/>
                <w:szCs w:val="28"/>
                <w:u w:val="none"/>
                <w:lang w:val="en-US" w:eastAsia="zh-CN" w:bidi="ar"/>
              </w:rPr>
              <w:t>2021年市级项目支出绩效评价指标体系（行政运行类）</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0" w:hRule="atLeast"/>
          <w:jc w:val="center"/>
        </w:trPr>
        <w:tc>
          <w:tcPr>
            <w:tcW w:w="302" w:type="pct"/>
            <w:vMerge w:val="restart"/>
            <w:tcBorders>
              <w:top w:val="single" w:color="DDDDDD" w:sz="4" w:space="0"/>
              <w:left w:val="single" w:color="4684D3" w:sz="4" w:space="0"/>
              <w:bottom w:val="single" w:color="DDDDDD" w:sz="4" w:space="0"/>
              <w:right w:val="single" w:color="DDDDDD" w:sz="4" w:space="0"/>
            </w:tcBorders>
            <w:shd w:val="clear" w:color="auto" w:fill="FFFFFF"/>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b/>
                <w:bCs/>
                <w:i w:val="0"/>
                <w:iCs w:val="0"/>
                <w:color w:val="000000"/>
                <w:sz w:val="21"/>
                <w:szCs w:val="21"/>
                <w:u w:val="none"/>
              </w:rPr>
            </w:pPr>
            <w:r>
              <w:rPr>
                <w:rFonts w:hint="eastAsia" w:ascii="宋体" w:hAnsi="宋体" w:eastAsia="宋体" w:cs="宋体"/>
                <w:b/>
                <w:bCs/>
                <w:i w:val="0"/>
                <w:iCs w:val="0"/>
                <w:color w:val="000000"/>
                <w:kern w:val="0"/>
                <w:sz w:val="21"/>
                <w:szCs w:val="21"/>
                <w:u w:val="none"/>
                <w:lang w:val="en-US" w:eastAsia="zh-CN" w:bidi="ar"/>
              </w:rPr>
              <w:t>分值权重</w:t>
            </w:r>
          </w:p>
        </w:tc>
        <w:tc>
          <w:tcPr>
            <w:tcW w:w="933" w:type="pct"/>
            <w:gridSpan w:val="3"/>
            <w:tcBorders>
              <w:top w:val="single" w:color="DDDDDD" w:sz="4" w:space="0"/>
              <w:left w:val="single" w:color="DDDDDD" w:sz="4" w:space="0"/>
              <w:bottom w:val="single" w:color="DDDDDD" w:sz="4" w:space="0"/>
              <w:right w:val="single" w:color="DDDDDD" w:sz="4" w:space="0"/>
            </w:tcBorders>
            <w:shd w:val="clear" w:color="auto" w:fill="FFFFFF"/>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b/>
                <w:bCs/>
                <w:i w:val="0"/>
                <w:iCs w:val="0"/>
                <w:color w:val="000000"/>
                <w:sz w:val="21"/>
                <w:szCs w:val="21"/>
                <w:u w:val="none"/>
              </w:rPr>
            </w:pPr>
            <w:r>
              <w:rPr>
                <w:rFonts w:hint="eastAsia" w:ascii="宋体" w:hAnsi="宋体" w:eastAsia="宋体" w:cs="宋体"/>
                <w:b/>
                <w:bCs/>
                <w:i w:val="0"/>
                <w:iCs w:val="0"/>
                <w:color w:val="000000"/>
                <w:kern w:val="0"/>
                <w:sz w:val="21"/>
                <w:szCs w:val="21"/>
                <w:u w:val="none"/>
                <w:lang w:val="en-US" w:eastAsia="zh-CN" w:bidi="ar"/>
              </w:rPr>
              <w:t>预算绩效指标</w:t>
            </w:r>
          </w:p>
        </w:tc>
        <w:tc>
          <w:tcPr>
            <w:tcW w:w="418" w:type="pct"/>
            <w:vMerge w:val="restart"/>
            <w:tcBorders>
              <w:top w:val="single" w:color="DDDDDD" w:sz="4" w:space="0"/>
              <w:left w:val="single" w:color="DDDDDD" w:sz="4" w:space="0"/>
              <w:bottom w:val="single" w:color="DDDDDD" w:sz="4" w:space="0"/>
              <w:right w:val="single" w:color="DDDDDD" w:sz="4" w:space="0"/>
            </w:tcBorders>
            <w:shd w:val="clear" w:color="auto" w:fill="FFFFFF"/>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b/>
                <w:bCs/>
                <w:i w:val="0"/>
                <w:iCs w:val="0"/>
                <w:color w:val="000000"/>
                <w:sz w:val="21"/>
                <w:szCs w:val="21"/>
                <w:u w:val="none"/>
              </w:rPr>
            </w:pPr>
            <w:r>
              <w:rPr>
                <w:rFonts w:hint="eastAsia" w:ascii="宋体" w:hAnsi="宋体" w:eastAsia="宋体" w:cs="宋体"/>
                <w:b/>
                <w:bCs/>
                <w:i w:val="0"/>
                <w:iCs w:val="0"/>
                <w:color w:val="000000"/>
                <w:kern w:val="0"/>
                <w:sz w:val="21"/>
                <w:szCs w:val="21"/>
                <w:u w:val="none"/>
                <w:lang w:val="en-US" w:eastAsia="zh-CN" w:bidi="ar"/>
              </w:rPr>
              <w:t>指标解释</w:t>
            </w:r>
          </w:p>
        </w:tc>
        <w:tc>
          <w:tcPr>
            <w:tcW w:w="1700" w:type="pct"/>
            <w:gridSpan w:val="6"/>
            <w:tcBorders>
              <w:top w:val="single" w:color="DDDDDD" w:sz="4" w:space="0"/>
              <w:left w:val="single" w:color="DDDDDD" w:sz="4" w:space="0"/>
              <w:bottom w:val="single" w:color="DDDDDD" w:sz="4" w:space="0"/>
              <w:right w:val="single" w:color="DDDDDD" w:sz="4" w:space="0"/>
            </w:tcBorders>
            <w:shd w:val="clear" w:color="auto" w:fill="FFFFFF"/>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b/>
                <w:bCs/>
                <w:i w:val="0"/>
                <w:iCs w:val="0"/>
                <w:color w:val="000000"/>
                <w:sz w:val="21"/>
                <w:szCs w:val="21"/>
                <w:u w:val="none"/>
              </w:rPr>
            </w:pPr>
            <w:r>
              <w:rPr>
                <w:rFonts w:hint="eastAsia" w:ascii="宋体" w:hAnsi="宋体" w:eastAsia="宋体" w:cs="宋体"/>
                <w:b/>
                <w:bCs/>
                <w:i w:val="0"/>
                <w:iCs w:val="0"/>
                <w:color w:val="000000"/>
                <w:kern w:val="0"/>
                <w:sz w:val="21"/>
                <w:szCs w:val="21"/>
                <w:u w:val="none"/>
                <w:lang w:val="en-US" w:eastAsia="zh-CN" w:bidi="ar"/>
              </w:rPr>
              <w:t>评分方法</w:t>
            </w:r>
          </w:p>
        </w:tc>
        <w:tc>
          <w:tcPr>
            <w:tcW w:w="573" w:type="pct"/>
            <w:vMerge w:val="restart"/>
            <w:tcBorders>
              <w:top w:val="single" w:color="DDDDDD" w:sz="4" w:space="0"/>
              <w:left w:val="single" w:color="DDDDDD" w:sz="4" w:space="0"/>
              <w:bottom w:val="single" w:color="DDDDDD" w:sz="4" w:space="0"/>
              <w:right w:val="single" w:color="DDDDDD" w:sz="4" w:space="0"/>
            </w:tcBorders>
            <w:shd w:val="clear" w:color="auto" w:fill="FFFFFF"/>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b/>
                <w:bCs/>
                <w:i w:val="0"/>
                <w:iCs w:val="0"/>
                <w:color w:val="000000"/>
                <w:sz w:val="21"/>
                <w:szCs w:val="21"/>
                <w:u w:val="none"/>
              </w:rPr>
            </w:pPr>
            <w:r>
              <w:rPr>
                <w:rFonts w:hint="eastAsia" w:ascii="宋体" w:hAnsi="宋体" w:eastAsia="宋体" w:cs="宋体"/>
                <w:b/>
                <w:bCs/>
                <w:i w:val="0"/>
                <w:iCs w:val="0"/>
                <w:color w:val="000000"/>
                <w:kern w:val="0"/>
                <w:sz w:val="21"/>
                <w:szCs w:val="21"/>
                <w:u w:val="none"/>
                <w:lang w:val="en-US" w:eastAsia="zh-CN" w:bidi="ar"/>
              </w:rPr>
              <w:t>评价要点及说明</w:t>
            </w:r>
          </w:p>
        </w:tc>
        <w:tc>
          <w:tcPr>
            <w:tcW w:w="246" w:type="pct"/>
            <w:vMerge w:val="restart"/>
            <w:tcBorders>
              <w:top w:val="single" w:color="DDDDDD" w:sz="4" w:space="0"/>
              <w:left w:val="single" w:color="DDDDDD" w:sz="4" w:space="0"/>
              <w:bottom w:val="single" w:color="DDDDDD" w:sz="4" w:space="0"/>
              <w:right w:val="single" w:color="DDDDDD" w:sz="4" w:space="0"/>
            </w:tcBorders>
            <w:shd w:val="clear" w:color="auto" w:fill="FFFFFF"/>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b/>
                <w:bCs/>
                <w:i w:val="0"/>
                <w:iCs w:val="0"/>
                <w:color w:val="000000"/>
                <w:sz w:val="21"/>
                <w:szCs w:val="21"/>
                <w:u w:val="none"/>
              </w:rPr>
            </w:pPr>
            <w:r>
              <w:rPr>
                <w:rFonts w:hint="eastAsia" w:ascii="宋体" w:hAnsi="宋体" w:eastAsia="宋体" w:cs="宋体"/>
                <w:b/>
                <w:bCs/>
                <w:i w:val="0"/>
                <w:iCs w:val="0"/>
                <w:color w:val="000000"/>
                <w:kern w:val="0"/>
                <w:sz w:val="21"/>
                <w:szCs w:val="21"/>
                <w:u w:val="none"/>
                <w:lang w:val="en-US" w:eastAsia="zh-CN" w:bidi="ar"/>
              </w:rPr>
              <w:t>自评得分</w:t>
            </w:r>
          </w:p>
        </w:tc>
        <w:tc>
          <w:tcPr>
            <w:tcW w:w="825" w:type="pct"/>
            <w:vMerge w:val="restart"/>
            <w:tcBorders>
              <w:top w:val="single" w:color="DDDDDD" w:sz="4" w:space="0"/>
              <w:left w:val="single" w:color="DDDDDD" w:sz="4" w:space="0"/>
              <w:bottom w:val="single" w:color="DDDDDD" w:sz="4" w:space="0"/>
              <w:right w:val="single" w:color="DDDDDD" w:sz="4" w:space="0"/>
            </w:tcBorders>
            <w:shd w:val="clear" w:color="auto" w:fill="FFFFFF"/>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b/>
                <w:bCs/>
                <w:i w:val="0"/>
                <w:iCs w:val="0"/>
                <w:color w:val="000000"/>
                <w:sz w:val="21"/>
                <w:szCs w:val="21"/>
                <w:u w:val="none"/>
              </w:rPr>
            </w:pPr>
            <w:r>
              <w:rPr>
                <w:rFonts w:hint="eastAsia" w:ascii="宋体" w:hAnsi="宋体" w:eastAsia="宋体" w:cs="宋体"/>
                <w:b/>
                <w:bCs/>
                <w:i w:val="0"/>
                <w:iCs w:val="0"/>
                <w:color w:val="000000"/>
                <w:kern w:val="0"/>
                <w:sz w:val="21"/>
                <w:szCs w:val="21"/>
                <w:u w:val="none"/>
                <w:lang w:val="en-US" w:eastAsia="zh-CN" w:bidi="ar"/>
              </w:rPr>
              <w:t>得（扣）分原因说明</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0" w:hRule="atLeast"/>
          <w:jc w:val="center"/>
        </w:trPr>
        <w:tc>
          <w:tcPr>
            <w:tcW w:w="302" w:type="pct"/>
            <w:vMerge w:val="continue"/>
            <w:tcBorders>
              <w:top w:val="single" w:color="DDDDDD" w:sz="4" w:space="0"/>
              <w:left w:val="single" w:color="4684D3" w:sz="4" w:space="0"/>
              <w:bottom w:val="single" w:color="DDDDDD" w:sz="4" w:space="0"/>
              <w:right w:val="single" w:color="DDDDDD" w:sz="4" w:space="0"/>
            </w:tcBorders>
            <w:shd w:val="clear" w:color="auto" w:fill="FFFFFF"/>
            <w:noWrap w:val="0"/>
            <w:vAlign w:val="center"/>
          </w:tcPr>
          <w:p>
            <w:pPr>
              <w:keepNext w:val="0"/>
              <w:keepLines w:val="0"/>
              <w:pageBreakBefore w:val="0"/>
              <w:widowControl/>
              <w:kinsoku/>
              <w:wordWrap/>
              <w:overflowPunct/>
              <w:topLinePunct w:val="0"/>
              <w:autoSpaceDE/>
              <w:autoSpaceDN/>
              <w:bidi w:val="0"/>
              <w:adjustRightInd/>
              <w:snapToGrid/>
              <w:spacing w:line="240" w:lineRule="exact"/>
              <w:jc w:val="center"/>
              <w:rPr>
                <w:rFonts w:hint="eastAsia" w:ascii="宋体" w:hAnsi="宋体" w:eastAsia="宋体" w:cs="宋体"/>
                <w:b/>
                <w:bCs/>
                <w:i w:val="0"/>
                <w:iCs w:val="0"/>
                <w:color w:val="000000"/>
                <w:sz w:val="21"/>
                <w:szCs w:val="21"/>
                <w:u w:val="none"/>
              </w:rPr>
            </w:pPr>
          </w:p>
        </w:tc>
        <w:tc>
          <w:tcPr>
            <w:tcW w:w="262" w:type="pct"/>
            <w:vMerge w:val="restart"/>
            <w:tcBorders>
              <w:top w:val="single" w:color="DDDDDD" w:sz="4" w:space="0"/>
              <w:left w:val="single" w:color="DDDDDD" w:sz="4" w:space="0"/>
              <w:bottom w:val="single" w:color="DDDDDD" w:sz="4" w:space="0"/>
              <w:right w:val="single" w:color="DDDDDD" w:sz="0" w:space="0"/>
            </w:tcBorders>
            <w:shd w:val="clear" w:color="auto" w:fill="FFFFFF"/>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b/>
                <w:bCs/>
                <w:i w:val="0"/>
                <w:iCs w:val="0"/>
                <w:color w:val="000000"/>
                <w:sz w:val="21"/>
                <w:szCs w:val="21"/>
                <w:u w:val="none"/>
              </w:rPr>
            </w:pPr>
            <w:r>
              <w:rPr>
                <w:rFonts w:hint="eastAsia" w:ascii="宋体" w:hAnsi="宋体" w:eastAsia="宋体" w:cs="宋体"/>
                <w:b/>
                <w:bCs/>
                <w:i w:val="0"/>
                <w:iCs w:val="0"/>
                <w:color w:val="000000"/>
                <w:kern w:val="0"/>
                <w:sz w:val="21"/>
                <w:szCs w:val="21"/>
                <w:u w:val="none"/>
                <w:lang w:val="en-US" w:eastAsia="zh-CN" w:bidi="ar"/>
              </w:rPr>
              <w:t>一级指标</w:t>
            </w:r>
          </w:p>
        </w:tc>
        <w:tc>
          <w:tcPr>
            <w:tcW w:w="257" w:type="pct"/>
            <w:vMerge w:val="restart"/>
            <w:tcBorders>
              <w:top w:val="single" w:color="DDDDDD" w:sz="4" w:space="0"/>
              <w:left w:val="single" w:color="DDDDDD" w:sz="4" w:space="0"/>
              <w:bottom w:val="single" w:color="DDDDDD" w:sz="4" w:space="0"/>
              <w:right w:val="single" w:color="DDDDDD" w:sz="4" w:space="0"/>
            </w:tcBorders>
            <w:shd w:val="clear" w:color="auto" w:fill="FFFFFF"/>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b/>
                <w:bCs/>
                <w:i w:val="0"/>
                <w:iCs w:val="0"/>
                <w:color w:val="000000"/>
                <w:sz w:val="21"/>
                <w:szCs w:val="21"/>
                <w:u w:val="none"/>
              </w:rPr>
            </w:pPr>
            <w:r>
              <w:rPr>
                <w:rFonts w:hint="eastAsia" w:ascii="宋体" w:hAnsi="宋体" w:eastAsia="宋体" w:cs="宋体"/>
                <w:b/>
                <w:bCs/>
                <w:i w:val="0"/>
                <w:iCs w:val="0"/>
                <w:color w:val="000000"/>
                <w:kern w:val="0"/>
                <w:sz w:val="21"/>
                <w:szCs w:val="21"/>
                <w:u w:val="none"/>
                <w:lang w:val="en-US" w:eastAsia="zh-CN" w:bidi="ar"/>
              </w:rPr>
              <w:t>二级指标</w:t>
            </w:r>
          </w:p>
        </w:tc>
        <w:tc>
          <w:tcPr>
            <w:tcW w:w="413" w:type="pct"/>
            <w:vMerge w:val="restart"/>
            <w:tcBorders>
              <w:top w:val="single" w:color="DDDDDD" w:sz="4" w:space="0"/>
              <w:left w:val="single" w:color="DDDDDD" w:sz="4" w:space="0"/>
              <w:bottom w:val="single" w:color="DDDDDD" w:sz="4" w:space="0"/>
              <w:right w:val="single" w:color="DDDDDD" w:sz="4" w:space="0"/>
            </w:tcBorders>
            <w:shd w:val="clear" w:color="auto" w:fill="FFFFFF"/>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b/>
                <w:bCs/>
                <w:i w:val="0"/>
                <w:iCs w:val="0"/>
                <w:color w:val="000000"/>
                <w:sz w:val="21"/>
                <w:szCs w:val="21"/>
                <w:u w:val="none"/>
              </w:rPr>
            </w:pPr>
            <w:r>
              <w:rPr>
                <w:rFonts w:hint="eastAsia" w:ascii="宋体" w:hAnsi="宋体" w:eastAsia="宋体" w:cs="宋体"/>
                <w:b/>
                <w:bCs/>
                <w:i w:val="0"/>
                <w:iCs w:val="0"/>
                <w:color w:val="000000"/>
                <w:kern w:val="0"/>
                <w:sz w:val="21"/>
                <w:szCs w:val="21"/>
                <w:u w:val="none"/>
                <w:lang w:val="en-US" w:eastAsia="zh-CN" w:bidi="ar"/>
              </w:rPr>
              <w:t>三级指标</w:t>
            </w:r>
          </w:p>
        </w:tc>
        <w:tc>
          <w:tcPr>
            <w:tcW w:w="418" w:type="pct"/>
            <w:vMerge w:val="continue"/>
            <w:tcBorders>
              <w:top w:val="single" w:color="DDDDDD" w:sz="4" w:space="0"/>
              <w:left w:val="single" w:color="DDDDDD" w:sz="4" w:space="0"/>
              <w:bottom w:val="single" w:color="DDDDDD" w:sz="4" w:space="0"/>
              <w:right w:val="single" w:color="DDDDDD" w:sz="4" w:space="0"/>
            </w:tcBorders>
            <w:shd w:val="clear" w:color="auto" w:fill="FFFFFF"/>
            <w:noWrap w:val="0"/>
            <w:vAlign w:val="center"/>
          </w:tcPr>
          <w:p>
            <w:pPr>
              <w:keepNext w:val="0"/>
              <w:keepLines w:val="0"/>
              <w:pageBreakBefore w:val="0"/>
              <w:widowControl/>
              <w:kinsoku/>
              <w:wordWrap/>
              <w:overflowPunct/>
              <w:topLinePunct w:val="0"/>
              <w:autoSpaceDE/>
              <w:autoSpaceDN/>
              <w:bidi w:val="0"/>
              <w:adjustRightInd/>
              <w:snapToGrid/>
              <w:spacing w:line="240" w:lineRule="exact"/>
              <w:jc w:val="center"/>
              <w:rPr>
                <w:rFonts w:hint="eastAsia" w:ascii="宋体" w:hAnsi="宋体" w:eastAsia="宋体" w:cs="宋体"/>
                <w:b/>
                <w:bCs/>
                <w:i w:val="0"/>
                <w:iCs w:val="0"/>
                <w:color w:val="000000"/>
                <w:sz w:val="21"/>
                <w:szCs w:val="21"/>
                <w:u w:val="none"/>
              </w:rPr>
            </w:pPr>
          </w:p>
        </w:tc>
        <w:tc>
          <w:tcPr>
            <w:tcW w:w="250" w:type="pct"/>
            <w:vMerge w:val="restart"/>
            <w:tcBorders>
              <w:top w:val="single" w:color="DDDDDD" w:sz="4" w:space="0"/>
              <w:left w:val="single" w:color="DDDDDD" w:sz="4" w:space="0"/>
              <w:bottom w:val="single" w:color="DDDDDD" w:sz="4" w:space="0"/>
              <w:right w:val="single" w:color="DDDDDD" w:sz="4" w:space="0"/>
            </w:tcBorders>
            <w:shd w:val="clear" w:color="auto" w:fill="FFFFFF"/>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b/>
                <w:bCs/>
                <w:i w:val="0"/>
                <w:iCs w:val="0"/>
                <w:color w:val="000000"/>
                <w:sz w:val="21"/>
                <w:szCs w:val="21"/>
                <w:u w:val="none"/>
              </w:rPr>
            </w:pPr>
            <w:r>
              <w:rPr>
                <w:rFonts w:hint="eastAsia" w:ascii="宋体" w:hAnsi="宋体" w:eastAsia="宋体" w:cs="宋体"/>
                <w:b/>
                <w:bCs/>
                <w:i w:val="0"/>
                <w:iCs w:val="0"/>
                <w:color w:val="000000"/>
                <w:kern w:val="0"/>
                <w:sz w:val="21"/>
                <w:szCs w:val="21"/>
                <w:u w:val="none"/>
                <w:lang w:val="en-US" w:eastAsia="zh-CN" w:bidi="ar"/>
              </w:rPr>
              <w:t>方法归类</w:t>
            </w:r>
          </w:p>
        </w:tc>
        <w:tc>
          <w:tcPr>
            <w:tcW w:w="1450" w:type="pct"/>
            <w:gridSpan w:val="5"/>
            <w:tcBorders>
              <w:top w:val="single" w:color="DDDDDD" w:sz="4" w:space="0"/>
              <w:left w:val="single" w:color="DDDDDD" w:sz="4" w:space="0"/>
              <w:bottom w:val="single" w:color="DDDDDD" w:sz="4" w:space="0"/>
              <w:right w:val="single" w:color="DDDDDD" w:sz="4" w:space="0"/>
            </w:tcBorders>
            <w:shd w:val="clear" w:color="auto" w:fill="FFFFFF"/>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b/>
                <w:bCs/>
                <w:i w:val="0"/>
                <w:iCs w:val="0"/>
                <w:color w:val="000000"/>
                <w:sz w:val="21"/>
                <w:szCs w:val="21"/>
                <w:u w:val="none"/>
              </w:rPr>
            </w:pPr>
            <w:r>
              <w:rPr>
                <w:rFonts w:hint="eastAsia" w:ascii="宋体" w:hAnsi="宋体" w:eastAsia="宋体" w:cs="宋体"/>
                <w:b/>
                <w:bCs/>
                <w:i w:val="0"/>
                <w:iCs w:val="0"/>
                <w:color w:val="000000"/>
                <w:kern w:val="0"/>
                <w:sz w:val="21"/>
                <w:szCs w:val="21"/>
                <w:u w:val="none"/>
                <w:lang w:val="en-US" w:eastAsia="zh-CN" w:bidi="ar"/>
              </w:rPr>
              <w:t>计算公式</w:t>
            </w:r>
          </w:p>
        </w:tc>
        <w:tc>
          <w:tcPr>
            <w:tcW w:w="573" w:type="pct"/>
            <w:vMerge w:val="continue"/>
            <w:tcBorders>
              <w:top w:val="single" w:color="DDDDDD" w:sz="4" w:space="0"/>
              <w:left w:val="single" w:color="DDDDDD" w:sz="4" w:space="0"/>
              <w:bottom w:val="single" w:color="DDDDDD" w:sz="4" w:space="0"/>
              <w:right w:val="single" w:color="DDDDDD" w:sz="4" w:space="0"/>
            </w:tcBorders>
            <w:shd w:val="clear" w:color="auto" w:fill="FFFFFF"/>
            <w:noWrap w:val="0"/>
            <w:vAlign w:val="center"/>
          </w:tcPr>
          <w:p>
            <w:pPr>
              <w:keepNext w:val="0"/>
              <w:keepLines w:val="0"/>
              <w:pageBreakBefore w:val="0"/>
              <w:widowControl/>
              <w:kinsoku/>
              <w:wordWrap/>
              <w:overflowPunct/>
              <w:topLinePunct w:val="0"/>
              <w:autoSpaceDE/>
              <w:autoSpaceDN/>
              <w:bidi w:val="0"/>
              <w:adjustRightInd/>
              <w:snapToGrid/>
              <w:spacing w:line="240" w:lineRule="exact"/>
              <w:jc w:val="center"/>
              <w:rPr>
                <w:rFonts w:hint="eastAsia" w:ascii="宋体" w:hAnsi="宋体" w:eastAsia="宋体" w:cs="宋体"/>
                <w:b/>
                <w:bCs/>
                <w:i w:val="0"/>
                <w:iCs w:val="0"/>
                <w:color w:val="000000"/>
                <w:sz w:val="21"/>
                <w:szCs w:val="21"/>
                <w:u w:val="none"/>
              </w:rPr>
            </w:pPr>
          </w:p>
        </w:tc>
        <w:tc>
          <w:tcPr>
            <w:tcW w:w="246" w:type="pct"/>
            <w:vMerge w:val="continue"/>
            <w:tcBorders>
              <w:top w:val="single" w:color="DDDDDD" w:sz="4" w:space="0"/>
              <w:left w:val="single" w:color="DDDDDD" w:sz="4" w:space="0"/>
              <w:bottom w:val="single" w:color="DDDDDD" w:sz="4" w:space="0"/>
              <w:right w:val="single" w:color="DDDDDD" w:sz="4" w:space="0"/>
            </w:tcBorders>
            <w:shd w:val="clear" w:color="auto" w:fill="FFFFFF"/>
            <w:noWrap w:val="0"/>
            <w:vAlign w:val="center"/>
          </w:tcPr>
          <w:p>
            <w:pPr>
              <w:keepNext w:val="0"/>
              <w:keepLines w:val="0"/>
              <w:pageBreakBefore w:val="0"/>
              <w:widowControl/>
              <w:kinsoku/>
              <w:wordWrap/>
              <w:overflowPunct/>
              <w:topLinePunct w:val="0"/>
              <w:autoSpaceDE/>
              <w:autoSpaceDN/>
              <w:bidi w:val="0"/>
              <w:adjustRightInd/>
              <w:snapToGrid/>
              <w:spacing w:line="240" w:lineRule="exact"/>
              <w:jc w:val="center"/>
              <w:rPr>
                <w:rFonts w:hint="eastAsia" w:ascii="宋体" w:hAnsi="宋体" w:eastAsia="宋体" w:cs="宋体"/>
                <w:b/>
                <w:bCs/>
                <w:i w:val="0"/>
                <w:iCs w:val="0"/>
                <w:color w:val="000000"/>
                <w:sz w:val="21"/>
                <w:szCs w:val="21"/>
                <w:u w:val="none"/>
              </w:rPr>
            </w:pPr>
          </w:p>
        </w:tc>
        <w:tc>
          <w:tcPr>
            <w:tcW w:w="825" w:type="pct"/>
            <w:vMerge w:val="continue"/>
            <w:tcBorders>
              <w:top w:val="single" w:color="DDDDDD" w:sz="4" w:space="0"/>
              <w:left w:val="single" w:color="DDDDDD" w:sz="4" w:space="0"/>
              <w:bottom w:val="single" w:color="DDDDDD" w:sz="4" w:space="0"/>
              <w:right w:val="single" w:color="DDDDDD" w:sz="4" w:space="0"/>
            </w:tcBorders>
            <w:shd w:val="clear" w:color="auto" w:fill="FFFFFF"/>
            <w:noWrap w:val="0"/>
            <w:vAlign w:val="center"/>
          </w:tcPr>
          <w:p>
            <w:pPr>
              <w:keepNext w:val="0"/>
              <w:keepLines w:val="0"/>
              <w:pageBreakBefore w:val="0"/>
              <w:widowControl/>
              <w:kinsoku/>
              <w:wordWrap/>
              <w:overflowPunct/>
              <w:topLinePunct w:val="0"/>
              <w:autoSpaceDE/>
              <w:autoSpaceDN/>
              <w:bidi w:val="0"/>
              <w:adjustRightInd/>
              <w:snapToGrid/>
              <w:spacing w:line="240" w:lineRule="exact"/>
              <w:jc w:val="center"/>
              <w:rPr>
                <w:rFonts w:hint="eastAsia" w:ascii="宋体" w:hAnsi="宋体" w:eastAsia="宋体" w:cs="宋体"/>
                <w:b/>
                <w:bCs/>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0" w:hRule="atLeast"/>
          <w:jc w:val="center"/>
        </w:trPr>
        <w:tc>
          <w:tcPr>
            <w:tcW w:w="302" w:type="pct"/>
            <w:vMerge w:val="continue"/>
            <w:tcBorders>
              <w:top w:val="single" w:color="DDDDDD" w:sz="4" w:space="0"/>
              <w:left w:val="single" w:color="4684D3" w:sz="4" w:space="0"/>
              <w:bottom w:val="single" w:color="DDDDDD" w:sz="4" w:space="0"/>
              <w:right w:val="single" w:color="DDDDDD" w:sz="4" w:space="0"/>
            </w:tcBorders>
            <w:shd w:val="clear" w:color="auto" w:fill="FFFFFF"/>
            <w:noWrap w:val="0"/>
            <w:vAlign w:val="center"/>
          </w:tcPr>
          <w:p>
            <w:pPr>
              <w:keepNext w:val="0"/>
              <w:keepLines w:val="0"/>
              <w:pageBreakBefore w:val="0"/>
              <w:widowControl/>
              <w:kinsoku/>
              <w:wordWrap/>
              <w:overflowPunct/>
              <w:topLinePunct w:val="0"/>
              <w:autoSpaceDE/>
              <w:autoSpaceDN/>
              <w:bidi w:val="0"/>
              <w:adjustRightInd/>
              <w:snapToGrid/>
              <w:spacing w:line="240" w:lineRule="exact"/>
              <w:jc w:val="center"/>
              <w:rPr>
                <w:rFonts w:hint="eastAsia" w:ascii="宋体" w:hAnsi="宋体" w:eastAsia="宋体" w:cs="宋体"/>
                <w:b/>
                <w:bCs/>
                <w:i w:val="0"/>
                <w:iCs w:val="0"/>
                <w:color w:val="000000"/>
                <w:sz w:val="21"/>
                <w:szCs w:val="21"/>
                <w:u w:val="none"/>
              </w:rPr>
            </w:pPr>
          </w:p>
        </w:tc>
        <w:tc>
          <w:tcPr>
            <w:tcW w:w="262" w:type="pct"/>
            <w:vMerge w:val="continue"/>
            <w:tcBorders>
              <w:top w:val="single" w:color="DDDDDD" w:sz="4" w:space="0"/>
              <w:left w:val="single" w:color="DDDDDD" w:sz="4" w:space="0"/>
              <w:bottom w:val="single" w:color="DDDDDD" w:sz="4" w:space="0"/>
              <w:right w:val="single" w:color="DDDDDD" w:sz="0" w:space="0"/>
            </w:tcBorders>
            <w:shd w:val="clear" w:color="auto" w:fill="FFFFFF"/>
            <w:noWrap w:val="0"/>
            <w:vAlign w:val="center"/>
          </w:tcPr>
          <w:p>
            <w:pPr>
              <w:keepNext w:val="0"/>
              <w:keepLines w:val="0"/>
              <w:pageBreakBefore w:val="0"/>
              <w:widowControl/>
              <w:kinsoku/>
              <w:wordWrap/>
              <w:overflowPunct/>
              <w:topLinePunct w:val="0"/>
              <w:autoSpaceDE/>
              <w:autoSpaceDN/>
              <w:bidi w:val="0"/>
              <w:adjustRightInd/>
              <w:snapToGrid/>
              <w:spacing w:line="240" w:lineRule="exact"/>
              <w:jc w:val="center"/>
              <w:rPr>
                <w:rFonts w:hint="eastAsia" w:ascii="宋体" w:hAnsi="宋体" w:eastAsia="宋体" w:cs="宋体"/>
                <w:b/>
                <w:bCs/>
                <w:i w:val="0"/>
                <w:iCs w:val="0"/>
                <w:color w:val="000000"/>
                <w:sz w:val="21"/>
                <w:szCs w:val="21"/>
                <w:u w:val="none"/>
              </w:rPr>
            </w:pPr>
          </w:p>
        </w:tc>
        <w:tc>
          <w:tcPr>
            <w:tcW w:w="257" w:type="pct"/>
            <w:vMerge w:val="continue"/>
            <w:tcBorders>
              <w:top w:val="single" w:color="DDDDDD" w:sz="4" w:space="0"/>
              <w:left w:val="single" w:color="DDDDDD" w:sz="4" w:space="0"/>
              <w:bottom w:val="single" w:color="DDDDDD" w:sz="4" w:space="0"/>
              <w:right w:val="single" w:color="DDDDDD" w:sz="4" w:space="0"/>
            </w:tcBorders>
            <w:shd w:val="clear" w:color="auto" w:fill="FFFFFF"/>
            <w:noWrap w:val="0"/>
            <w:vAlign w:val="center"/>
          </w:tcPr>
          <w:p>
            <w:pPr>
              <w:keepNext w:val="0"/>
              <w:keepLines w:val="0"/>
              <w:pageBreakBefore w:val="0"/>
              <w:widowControl/>
              <w:kinsoku/>
              <w:wordWrap/>
              <w:overflowPunct/>
              <w:topLinePunct w:val="0"/>
              <w:autoSpaceDE/>
              <w:autoSpaceDN/>
              <w:bidi w:val="0"/>
              <w:adjustRightInd/>
              <w:snapToGrid/>
              <w:spacing w:line="240" w:lineRule="exact"/>
              <w:jc w:val="center"/>
              <w:rPr>
                <w:rFonts w:hint="eastAsia" w:ascii="宋体" w:hAnsi="宋体" w:eastAsia="宋体" w:cs="宋体"/>
                <w:b/>
                <w:bCs/>
                <w:i w:val="0"/>
                <w:iCs w:val="0"/>
                <w:color w:val="000000"/>
                <w:sz w:val="21"/>
                <w:szCs w:val="21"/>
                <w:u w:val="none"/>
              </w:rPr>
            </w:pPr>
          </w:p>
        </w:tc>
        <w:tc>
          <w:tcPr>
            <w:tcW w:w="413" w:type="pct"/>
            <w:vMerge w:val="continue"/>
            <w:tcBorders>
              <w:top w:val="single" w:color="DDDDDD" w:sz="4" w:space="0"/>
              <w:left w:val="single" w:color="DDDDDD" w:sz="4" w:space="0"/>
              <w:bottom w:val="single" w:color="DDDDDD" w:sz="4" w:space="0"/>
              <w:right w:val="single" w:color="DDDDDD" w:sz="4" w:space="0"/>
            </w:tcBorders>
            <w:shd w:val="clear" w:color="auto" w:fill="FFFFFF"/>
            <w:noWrap w:val="0"/>
            <w:vAlign w:val="center"/>
          </w:tcPr>
          <w:p>
            <w:pPr>
              <w:keepNext w:val="0"/>
              <w:keepLines w:val="0"/>
              <w:pageBreakBefore w:val="0"/>
              <w:widowControl/>
              <w:kinsoku/>
              <w:wordWrap/>
              <w:overflowPunct/>
              <w:topLinePunct w:val="0"/>
              <w:autoSpaceDE/>
              <w:autoSpaceDN/>
              <w:bidi w:val="0"/>
              <w:adjustRightInd/>
              <w:snapToGrid/>
              <w:spacing w:line="240" w:lineRule="exact"/>
              <w:jc w:val="center"/>
              <w:rPr>
                <w:rFonts w:hint="eastAsia" w:ascii="宋体" w:hAnsi="宋体" w:eastAsia="宋体" w:cs="宋体"/>
                <w:b/>
                <w:bCs/>
                <w:i w:val="0"/>
                <w:iCs w:val="0"/>
                <w:color w:val="000000"/>
                <w:sz w:val="21"/>
                <w:szCs w:val="21"/>
                <w:u w:val="none"/>
              </w:rPr>
            </w:pPr>
          </w:p>
        </w:tc>
        <w:tc>
          <w:tcPr>
            <w:tcW w:w="418" w:type="pct"/>
            <w:vMerge w:val="continue"/>
            <w:tcBorders>
              <w:top w:val="single" w:color="DDDDDD" w:sz="4" w:space="0"/>
              <w:left w:val="single" w:color="DDDDDD" w:sz="4" w:space="0"/>
              <w:bottom w:val="single" w:color="DDDDDD" w:sz="4" w:space="0"/>
              <w:right w:val="single" w:color="DDDDDD" w:sz="4" w:space="0"/>
            </w:tcBorders>
            <w:shd w:val="clear" w:color="auto" w:fill="FFFFFF"/>
            <w:noWrap w:val="0"/>
            <w:vAlign w:val="center"/>
          </w:tcPr>
          <w:p>
            <w:pPr>
              <w:keepNext w:val="0"/>
              <w:keepLines w:val="0"/>
              <w:pageBreakBefore w:val="0"/>
              <w:widowControl/>
              <w:kinsoku/>
              <w:wordWrap/>
              <w:overflowPunct/>
              <w:topLinePunct w:val="0"/>
              <w:autoSpaceDE/>
              <w:autoSpaceDN/>
              <w:bidi w:val="0"/>
              <w:adjustRightInd/>
              <w:snapToGrid/>
              <w:spacing w:line="240" w:lineRule="exact"/>
              <w:jc w:val="center"/>
              <w:rPr>
                <w:rFonts w:hint="eastAsia" w:ascii="宋体" w:hAnsi="宋体" w:eastAsia="宋体" w:cs="宋体"/>
                <w:b/>
                <w:bCs/>
                <w:i w:val="0"/>
                <w:iCs w:val="0"/>
                <w:color w:val="000000"/>
                <w:sz w:val="21"/>
                <w:szCs w:val="21"/>
                <w:u w:val="none"/>
              </w:rPr>
            </w:pPr>
          </w:p>
        </w:tc>
        <w:tc>
          <w:tcPr>
            <w:tcW w:w="250" w:type="pct"/>
            <w:vMerge w:val="continue"/>
            <w:tcBorders>
              <w:top w:val="single" w:color="DDDDDD" w:sz="4" w:space="0"/>
              <w:left w:val="single" w:color="DDDDDD" w:sz="4" w:space="0"/>
              <w:bottom w:val="single" w:color="DDDDDD" w:sz="4" w:space="0"/>
              <w:right w:val="single" w:color="DDDDDD" w:sz="4" w:space="0"/>
            </w:tcBorders>
            <w:shd w:val="clear" w:color="auto" w:fill="FFFFFF"/>
            <w:noWrap w:val="0"/>
            <w:vAlign w:val="center"/>
          </w:tcPr>
          <w:p>
            <w:pPr>
              <w:keepNext w:val="0"/>
              <w:keepLines w:val="0"/>
              <w:pageBreakBefore w:val="0"/>
              <w:widowControl/>
              <w:kinsoku/>
              <w:wordWrap/>
              <w:overflowPunct/>
              <w:topLinePunct w:val="0"/>
              <w:autoSpaceDE/>
              <w:autoSpaceDN/>
              <w:bidi w:val="0"/>
              <w:adjustRightInd/>
              <w:snapToGrid/>
              <w:spacing w:line="240" w:lineRule="exact"/>
              <w:jc w:val="center"/>
              <w:rPr>
                <w:rFonts w:hint="eastAsia" w:ascii="宋体" w:hAnsi="宋体" w:eastAsia="宋体" w:cs="宋体"/>
                <w:b/>
                <w:bCs/>
                <w:i w:val="0"/>
                <w:iCs w:val="0"/>
                <w:color w:val="000000"/>
                <w:sz w:val="21"/>
                <w:szCs w:val="21"/>
                <w:u w:val="none"/>
              </w:rPr>
            </w:pPr>
          </w:p>
        </w:tc>
        <w:tc>
          <w:tcPr>
            <w:tcW w:w="256" w:type="pct"/>
            <w:tcBorders>
              <w:top w:val="single" w:color="DDDDDD" w:sz="4" w:space="0"/>
              <w:left w:val="single" w:color="DDDDDD" w:sz="4" w:space="0"/>
              <w:bottom w:val="single" w:color="DDDDDD" w:sz="4" w:space="0"/>
              <w:right w:val="single" w:color="DDDDDD" w:sz="4" w:space="0"/>
            </w:tcBorders>
            <w:shd w:val="clear" w:color="auto" w:fill="FFFFFF"/>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b/>
                <w:bCs/>
                <w:i w:val="0"/>
                <w:iCs w:val="0"/>
                <w:color w:val="000000"/>
                <w:sz w:val="21"/>
                <w:szCs w:val="21"/>
                <w:u w:val="none"/>
              </w:rPr>
            </w:pPr>
            <w:r>
              <w:rPr>
                <w:rFonts w:hint="eastAsia" w:ascii="宋体" w:hAnsi="宋体" w:eastAsia="宋体" w:cs="宋体"/>
                <w:b/>
                <w:bCs/>
                <w:i w:val="0"/>
                <w:iCs w:val="0"/>
                <w:color w:val="000000"/>
                <w:kern w:val="0"/>
                <w:sz w:val="21"/>
                <w:szCs w:val="21"/>
                <w:u w:val="none"/>
                <w:lang w:val="en-US" w:eastAsia="zh-CN" w:bidi="ar"/>
              </w:rPr>
              <w:t>0</w:t>
            </w:r>
          </w:p>
        </w:tc>
        <w:tc>
          <w:tcPr>
            <w:tcW w:w="321" w:type="pct"/>
            <w:tcBorders>
              <w:top w:val="single" w:color="DDDDDD" w:sz="4" w:space="0"/>
              <w:left w:val="single" w:color="DDDDDD" w:sz="4" w:space="0"/>
              <w:bottom w:val="single" w:color="DDDDDD" w:sz="4" w:space="0"/>
              <w:right w:val="single" w:color="DDDDDD" w:sz="4" w:space="0"/>
            </w:tcBorders>
            <w:shd w:val="clear" w:color="auto" w:fill="FFFFFF"/>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b/>
                <w:bCs/>
                <w:i w:val="0"/>
                <w:iCs w:val="0"/>
                <w:color w:val="000000"/>
                <w:sz w:val="21"/>
                <w:szCs w:val="21"/>
                <w:u w:val="none"/>
              </w:rPr>
            </w:pPr>
            <w:r>
              <w:rPr>
                <w:rFonts w:hint="eastAsia" w:ascii="宋体" w:hAnsi="宋体" w:eastAsia="宋体" w:cs="宋体"/>
                <w:b/>
                <w:bCs/>
                <w:i w:val="0"/>
                <w:iCs w:val="0"/>
                <w:color w:val="000000"/>
                <w:kern w:val="0"/>
                <w:sz w:val="21"/>
                <w:szCs w:val="21"/>
                <w:u w:val="none"/>
                <w:lang w:val="en-US" w:eastAsia="zh-CN" w:bidi="ar"/>
              </w:rPr>
              <w:t>0.3</w:t>
            </w:r>
          </w:p>
        </w:tc>
        <w:tc>
          <w:tcPr>
            <w:tcW w:w="310" w:type="pct"/>
            <w:tcBorders>
              <w:top w:val="single" w:color="DDDDDD" w:sz="4" w:space="0"/>
              <w:left w:val="single" w:color="DDDDDD" w:sz="4" w:space="0"/>
              <w:bottom w:val="single" w:color="DDDDDD" w:sz="4" w:space="0"/>
              <w:right w:val="single" w:color="DDDDDD" w:sz="4" w:space="0"/>
            </w:tcBorders>
            <w:shd w:val="clear" w:color="auto" w:fill="FFFFFF"/>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b/>
                <w:bCs/>
                <w:i w:val="0"/>
                <w:iCs w:val="0"/>
                <w:color w:val="000000"/>
                <w:sz w:val="21"/>
                <w:szCs w:val="21"/>
                <w:u w:val="none"/>
              </w:rPr>
            </w:pPr>
            <w:r>
              <w:rPr>
                <w:rFonts w:hint="eastAsia" w:ascii="宋体" w:hAnsi="宋体" w:eastAsia="宋体" w:cs="宋体"/>
                <w:b/>
                <w:bCs/>
                <w:i w:val="0"/>
                <w:iCs w:val="0"/>
                <w:color w:val="000000"/>
                <w:kern w:val="0"/>
                <w:sz w:val="21"/>
                <w:szCs w:val="21"/>
                <w:u w:val="none"/>
                <w:lang w:val="en-US" w:eastAsia="zh-CN" w:bidi="ar"/>
              </w:rPr>
              <w:t>0.6</w:t>
            </w:r>
          </w:p>
        </w:tc>
        <w:tc>
          <w:tcPr>
            <w:tcW w:w="310" w:type="pct"/>
            <w:tcBorders>
              <w:top w:val="single" w:color="DDDDDD" w:sz="4" w:space="0"/>
              <w:left w:val="single" w:color="DDDDDD" w:sz="4" w:space="0"/>
              <w:bottom w:val="single" w:color="DDDDDD" w:sz="4" w:space="0"/>
              <w:right w:val="single" w:color="DDDDDD" w:sz="4" w:space="0"/>
            </w:tcBorders>
            <w:shd w:val="clear" w:color="auto" w:fill="FFFFFF"/>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b/>
                <w:bCs/>
                <w:i w:val="0"/>
                <w:iCs w:val="0"/>
                <w:color w:val="000000"/>
                <w:sz w:val="21"/>
                <w:szCs w:val="21"/>
                <w:u w:val="none"/>
              </w:rPr>
            </w:pPr>
            <w:r>
              <w:rPr>
                <w:rFonts w:hint="eastAsia" w:ascii="宋体" w:hAnsi="宋体" w:eastAsia="宋体" w:cs="宋体"/>
                <w:b/>
                <w:bCs/>
                <w:i w:val="0"/>
                <w:iCs w:val="0"/>
                <w:color w:val="000000"/>
                <w:kern w:val="0"/>
                <w:sz w:val="21"/>
                <w:szCs w:val="21"/>
                <w:u w:val="none"/>
                <w:lang w:val="en-US" w:eastAsia="zh-CN" w:bidi="ar"/>
              </w:rPr>
              <w:t>0.8</w:t>
            </w:r>
          </w:p>
        </w:tc>
        <w:tc>
          <w:tcPr>
            <w:tcW w:w="252" w:type="pct"/>
            <w:tcBorders>
              <w:top w:val="single" w:color="DDDDDD" w:sz="4" w:space="0"/>
              <w:left w:val="single" w:color="DDDDDD" w:sz="4" w:space="0"/>
              <w:bottom w:val="single" w:color="DDDDDD" w:sz="4" w:space="0"/>
              <w:right w:val="single" w:color="DDDDDD" w:sz="4" w:space="0"/>
            </w:tcBorders>
            <w:shd w:val="clear" w:color="auto" w:fill="FFFFFF"/>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b/>
                <w:bCs/>
                <w:i w:val="0"/>
                <w:iCs w:val="0"/>
                <w:color w:val="000000"/>
                <w:sz w:val="21"/>
                <w:szCs w:val="21"/>
                <w:u w:val="none"/>
              </w:rPr>
            </w:pPr>
            <w:r>
              <w:rPr>
                <w:rFonts w:hint="eastAsia" w:ascii="宋体" w:hAnsi="宋体" w:eastAsia="宋体" w:cs="宋体"/>
                <w:b/>
                <w:bCs/>
                <w:i w:val="0"/>
                <w:iCs w:val="0"/>
                <w:color w:val="000000"/>
                <w:kern w:val="0"/>
                <w:sz w:val="21"/>
                <w:szCs w:val="21"/>
                <w:u w:val="none"/>
                <w:lang w:val="en-US" w:eastAsia="zh-CN" w:bidi="ar"/>
              </w:rPr>
              <w:t>1</w:t>
            </w:r>
          </w:p>
        </w:tc>
        <w:tc>
          <w:tcPr>
            <w:tcW w:w="573" w:type="pct"/>
            <w:vMerge w:val="continue"/>
            <w:tcBorders>
              <w:top w:val="single" w:color="DDDDDD" w:sz="4" w:space="0"/>
              <w:left w:val="single" w:color="DDDDDD" w:sz="4" w:space="0"/>
              <w:bottom w:val="single" w:color="DDDDDD" w:sz="4" w:space="0"/>
              <w:right w:val="single" w:color="DDDDDD" w:sz="4" w:space="0"/>
            </w:tcBorders>
            <w:shd w:val="clear" w:color="auto" w:fill="FFFFFF"/>
            <w:noWrap w:val="0"/>
            <w:vAlign w:val="center"/>
          </w:tcPr>
          <w:p>
            <w:pPr>
              <w:keepNext w:val="0"/>
              <w:keepLines w:val="0"/>
              <w:pageBreakBefore w:val="0"/>
              <w:widowControl/>
              <w:kinsoku/>
              <w:wordWrap/>
              <w:overflowPunct/>
              <w:topLinePunct w:val="0"/>
              <w:autoSpaceDE/>
              <w:autoSpaceDN/>
              <w:bidi w:val="0"/>
              <w:adjustRightInd/>
              <w:snapToGrid/>
              <w:spacing w:line="240" w:lineRule="exact"/>
              <w:jc w:val="center"/>
              <w:rPr>
                <w:rFonts w:hint="eastAsia" w:ascii="宋体" w:hAnsi="宋体" w:eastAsia="宋体" w:cs="宋体"/>
                <w:b/>
                <w:bCs/>
                <w:i w:val="0"/>
                <w:iCs w:val="0"/>
                <w:color w:val="000000"/>
                <w:sz w:val="21"/>
                <w:szCs w:val="21"/>
                <w:u w:val="none"/>
              </w:rPr>
            </w:pPr>
          </w:p>
        </w:tc>
        <w:tc>
          <w:tcPr>
            <w:tcW w:w="246" w:type="pct"/>
            <w:vMerge w:val="continue"/>
            <w:tcBorders>
              <w:top w:val="single" w:color="DDDDDD" w:sz="4" w:space="0"/>
              <w:left w:val="single" w:color="DDDDDD" w:sz="4" w:space="0"/>
              <w:bottom w:val="single" w:color="DDDDDD" w:sz="4" w:space="0"/>
              <w:right w:val="single" w:color="DDDDDD" w:sz="4" w:space="0"/>
            </w:tcBorders>
            <w:shd w:val="clear" w:color="auto" w:fill="FFFFFF"/>
            <w:noWrap w:val="0"/>
            <w:vAlign w:val="center"/>
          </w:tcPr>
          <w:p>
            <w:pPr>
              <w:keepNext w:val="0"/>
              <w:keepLines w:val="0"/>
              <w:pageBreakBefore w:val="0"/>
              <w:widowControl/>
              <w:kinsoku/>
              <w:wordWrap/>
              <w:overflowPunct/>
              <w:topLinePunct w:val="0"/>
              <w:autoSpaceDE/>
              <w:autoSpaceDN/>
              <w:bidi w:val="0"/>
              <w:adjustRightInd/>
              <w:snapToGrid/>
              <w:spacing w:line="240" w:lineRule="exact"/>
              <w:jc w:val="center"/>
              <w:rPr>
                <w:rFonts w:hint="eastAsia" w:ascii="宋体" w:hAnsi="宋体" w:eastAsia="宋体" w:cs="宋体"/>
                <w:b/>
                <w:bCs/>
                <w:i w:val="0"/>
                <w:iCs w:val="0"/>
                <w:color w:val="000000"/>
                <w:sz w:val="21"/>
                <w:szCs w:val="21"/>
                <w:u w:val="none"/>
              </w:rPr>
            </w:pPr>
          </w:p>
        </w:tc>
        <w:tc>
          <w:tcPr>
            <w:tcW w:w="825" w:type="pct"/>
            <w:vMerge w:val="continue"/>
            <w:tcBorders>
              <w:top w:val="single" w:color="DDDDDD" w:sz="4" w:space="0"/>
              <w:left w:val="single" w:color="DDDDDD" w:sz="4" w:space="0"/>
              <w:bottom w:val="single" w:color="DDDDDD" w:sz="4" w:space="0"/>
              <w:right w:val="single" w:color="4684D3" w:sz="4" w:space="0"/>
            </w:tcBorders>
            <w:shd w:val="clear" w:color="auto" w:fill="FFFFFF"/>
            <w:noWrap w:val="0"/>
            <w:vAlign w:val="center"/>
          </w:tcPr>
          <w:p>
            <w:pPr>
              <w:keepNext w:val="0"/>
              <w:keepLines w:val="0"/>
              <w:pageBreakBefore w:val="0"/>
              <w:widowControl/>
              <w:kinsoku/>
              <w:wordWrap/>
              <w:overflowPunct/>
              <w:topLinePunct w:val="0"/>
              <w:autoSpaceDE/>
              <w:autoSpaceDN/>
              <w:bidi w:val="0"/>
              <w:adjustRightInd/>
              <w:snapToGrid/>
              <w:spacing w:line="240" w:lineRule="exact"/>
              <w:jc w:val="center"/>
              <w:rPr>
                <w:rFonts w:hint="eastAsia" w:ascii="宋体" w:hAnsi="宋体" w:eastAsia="宋体" w:cs="宋体"/>
                <w:b/>
                <w:bCs/>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0" w:hRule="atLeast"/>
          <w:jc w:val="center"/>
        </w:trPr>
        <w:tc>
          <w:tcPr>
            <w:tcW w:w="302" w:type="pct"/>
            <w:tcBorders>
              <w:top w:val="single" w:color="DDDDDD" w:sz="4" w:space="0"/>
              <w:left w:val="single" w:color="4684D3" w:sz="4" w:space="0"/>
              <w:bottom w:val="single" w:color="DDDDDD" w:sz="4" w:space="0"/>
              <w:right w:val="single" w:color="DDDDDD" w:sz="4" w:space="0"/>
            </w:tcBorders>
            <w:shd w:val="clear" w:color="auto" w:fill="FFFFFF"/>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b/>
                <w:bCs/>
                <w:i w:val="0"/>
                <w:iCs w:val="0"/>
                <w:color w:val="000000"/>
                <w:sz w:val="21"/>
                <w:szCs w:val="21"/>
                <w:u w:val="none"/>
              </w:rPr>
            </w:pPr>
            <w:r>
              <w:rPr>
                <w:rFonts w:hint="eastAsia" w:ascii="宋体" w:hAnsi="宋体" w:eastAsia="宋体" w:cs="宋体"/>
                <w:b/>
                <w:bCs/>
                <w:i w:val="0"/>
                <w:iCs w:val="0"/>
                <w:color w:val="000000"/>
                <w:kern w:val="0"/>
                <w:sz w:val="21"/>
                <w:szCs w:val="21"/>
                <w:u w:val="none"/>
                <w:lang w:val="en-US" w:eastAsia="zh-CN" w:bidi="ar"/>
              </w:rPr>
              <w:t>8%</w:t>
            </w:r>
          </w:p>
        </w:tc>
        <w:tc>
          <w:tcPr>
            <w:tcW w:w="262" w:type="pct"/>
            <w:vMerge w:val="restart"/>
            <w:tcBorders>
              <w:top w:val="single" w:color="DDDDDD" w:sz="4" w:space="0"/>
              <w:left w:val="single" w:color="DDDDDD" w:sz="4" w:space="0"/>
              <w:bottom w:val="single" w:color="DDDDDD" w:sz="4" w:space="0"/>
              <w:right w:val="single" w:color="DDDDDD" w:sz="0" w:space="0"/>
            </w:tcBorders>
            <w:shd w:val="clear" w:color="auto" w:fill="FFFFFF"/>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b/>
                <w:bCs/>
                <w:i w:val="0"/>
                <w:iCs w:val="0"/>
                <w:color w:val="000000"/>
                <w:sz w:val="21"/>
                <w:szCs w:val="21"/>
                <w:u w:val="none"/>
              </w:rPr>
            </w:pPr>
            <w:r>
              <w:rPr>
                <w:rFonts w:hint="eastAsia" w:ascii="宋体" w:hAnsi="宋体" w:eastAsia="宋体" w:cs="宋体"/>
                <w:b/>
                <w:bCs/>
                <w:i w:val="0"/>
                <w:iCs w:val="0"/>
                <w:color w:val="000000"/>
                <w:kern w:val="0"/>
                <w:sz w:val="21"/>
                <w:szCs w:val="21"/>
                <w:u w:val="none"/>
                <w:lang w:val="en-US" w:eastAsia="zh-CN" w:bidi="ar"/>
              </w:rPr>
              <w:t>项目决策</w:t>
            </w:r>
          </w:p>
        </w:tc>
        <w:tc>
          <w:tcPr>
            <w:tcW w:w="257" w:type="pct"/>
            <w:tcBorders>
              <w:top w:val="single" w:color="DDDDDD" w:sz="4" w:space="0"/>
              <w:left w:val="single" w:color="DDDDDD" w:sz="4" w:space="0"/>
              <w:bottom w:val="single" w:color="DDDDDD" w:sz="4" w:space="0"/>
              <w:right w:val="single" w:color="DDDDDD" w:sz="4" w:space="0"/>
            </w:tcBorders>
            <w:shd w:val="clear" w:color="auto" w:fill="FFFFFF"/>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项目依据</w:t>
            </w:r>
          </w:p>
        </w:tc>
        <w:tc>
          <w:tcPr>
            <w:tcW w:w="413" w:type="pct"/>
            <w:tcBorders>
              <w:top w:val="single" w:color="DDDDDD" w:sz="4" w:space="0"/>
              <w:left w:val="single" w:color="DDDDDD" w:sz="4" w:space="0"/>
              <w:bottom w:val="single" w:color="DDDDDD" w:sz="4" w:space="0"/>
              <w:right w:val="single" w:color="DDDDDD" w:sz="4" w:space="0"/>
            </w:tcBorders>
            <w:shd w:val="clear" w:color="auto" w:fill="FFFFFF"/>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依据充分性（必要性）</w:t>
            </w:r>
          </w:p>
        </w:tc>
        <w:tc>
          <w:tcPr>
            <w:tcW w:w="418" w:type="pct"/>
            <w:tcBorders>
              <w:top w:val="single" w:color="DDDDDD" w:sz="4" w:space="0"/>
              <w:left w:val="single" w:color="DDDDDD" w:sz="4" w:space="0"/>
              <w:bottom w:val="single" w:color="DDDDDD" w:sz="4" w:space="0"/>
              <w:right w:val="single" w:color="DDDDDD" w:sz="4" w:space="0"/>
            </w:tcBorders>
            <w:shd w:val="clear" w:color="auto" w:fill="FFFFFF"/>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项目设定依据是否充分</w:t>
            </w:r>
          </w:p>
        </w:tc>
        <w:tc>
          <w:tcPr>
            <w:tcW w:w="250" w:type="pct"/>
            <w:tcBorders>
              <w:top w:val="single" w:color="DDDDDD" w:sz="4" w:space="0"/>
              <w:left w:val="single" w:color="DDDDDD" w:sz="4" w:space="0"/>
              <w:bottom w:val="single" w:color="DDDDDD" w:sz="4" w:space="0"/>
              <w:right w:val="single" w:color="DDDDDD" w:sz="4" w:space="0"/>
            </w:tcBorders>
            <w:shd w:val="clear" w:color="auto" w:fill="FFFFFF"/>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分级评分法</w:t>
            </w:r>
          </w:p>
        </w:tc>
        <w:tc>
          <w:tcPr>
            <w:tcW w:w="256" w:type="pct"/>
            <w:tcBorders>
              <w:top w:val="single" w:color="DDDDDD" w:sz="4" w:space="0"/>
              <w:left w:val="single" w:color="DDDDDD" w:sz="4" w:space="0"/>
              <w:bottom w:val="single" w:color="DDDDDD" w:sz="4" w:space="0"/>
              <w:right w:val="single" w:color="DDDDDD" w:sz="4" w:space="0"/>
            </w:tcBorders>
            <w:shd w:val="clear" w:color="auto" w:fill="FFFFFF"/>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不符合</w:t>
            </w:r>
          </w:p>
        </w:tc>
        <w:tc>
          <w:tcPr>
            <w:tcW w:w="321" w:type="pct"/>
            <w:tcBorders>
              <w:top w:val="single" w:color="DDDDDD" w:sz="4" w:space="0"/>
              <w:left w:val="single" w:color="DDDDDD" w:sz="4" w:space="0"/>
              <w:bottom w:val="single" w:color="DDDDDD" w:sz="4" w:space="0"/>
              <w:right w:val="single" w:color="DDDDDD" w:sz="4" w:space="0"/>
            </w:tcBorders>
            <w:shd w:val="clear" w:color="auto" w:fill="FFFFFF"/>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3处及以上不符合</w:t>
            </w:r>
          </w:p>
        </w:tc>
        <w:tc>
          <w:tcPr>
            <w:tcW w:w="310" w:type="pct"/>
            <w:tcBorders>
              <w:top w:val="single" w:color="DDDDDD" w:sz="4" w:space="0"/>
              <w:left w:val="single" w:color="DDDDDD" w:sz="4" w:space="0"/>
              <w:bottom w:val="single" w:color="DDDDDD" w:sz="4" w:space="0"/>
              <w:right w:val="single" w:color="DDDDDD" w:sz="4" w:space="0"/>
            </w:tcBorders>
            <w:shd w:val="clear" w:color="auto" w:fill="FFFFFF"/>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2处不符合</w:t>
            </w:r>
          </w:p>
        </w:tc>
        <w:tc>
          <w:tcPr>
            <w:tcW w:w="310" w:type="pct"/>
            <w:tcBorders>
              <w:top w:val="single" w:color="DDDDDD" w:sz="4" w:space="0"/>
              <w:left w:val="single" w:color="DDDDDD" w:sz="4" w:space="0"/>
              <w:bottom w:val="single" w:color="DDDDDD" w:sz="4" w:space="0"/>
              <w:right w:val="single" w:color="DDDDDD" w:sz="4" w:space="0"/>
            </w:tcBorders>
            <w:shd w:val="clear" w:color="auto" w:fill="FFFFFF"/>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1处不符合</w:t>
            </w:r>
          </w:p>
        </w:tc>
        <w:tc>
          <w:tcPr>
            <w:tcW w:w="252" w:type="pct"/>
            <w:tcBorders>
              <w:top w:val="single" w:color="DDDDDD" w:sz="4" w:space="0"/>
              <w:left w:val="single" w:color="DDDDDD" w:sz="4" w:space="0"/>
              <w:bottom w:val="single" w:color="DDDDDD" w:sz="4" w:space="0"/>
              <w:right w:val="single" w:color="DDDDDD" w:sz="4" w:space="0"/>
            </w:tcBorders>
            <w:shd w:val="clear" w:color="auto" w:fill="FFFFFF"/>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符合</w:t>
            </w:r>
          </w:p>
        </w:tc>
        <w:tc>
          <w:tcPr>
            <w:tcW w:w="573" w:type="pct"/>
            <w:tcBorders>
              <w:top w:val="single" w:color="DDDDDD" w:sz="4" w:space="0"/>
              <w:left w:val="single" w:color="DDDDDD" w:sz="4" w:space="0"/>
              <w:bottom w:val="single" w:color="DDDDDD" w:sz="4" w:space="0"/>
              <w:right w:val="single" w:color="DDDDDD" w:sz="4" w:space="0"/>
            </w:tcBorders>
            <w:shd w:val="clear" w:color="auto" w:fill="FFFFFF"/>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是否符合党中央、国务院和省委、省政府决策部署；符合当前经济社会发展需要</w:t>
            </w:r>
          </w:p>
        </w:tc>
        <w:tc>
          <w:tcPr>
            <w:tcW w:w="246" w:type="pct"/>
            <w:tcBorders>
              <w:top w:val="single" w:color="DDDDDD" w:sz="4" w:space="0"/>
              <w:left w:val="single" w:color="DDDDDD" w:sz="4" w:space="0"/>
              <w:bottom w:val="single" w:color="DDDDDD" w:sz="4" w:space="0"/>
              <w:right w:val="single" w:color="DDDDDD" w:sz="4" w:space="0"/>
            </w:tcBorders>
            <w:shd w:val="clear" w:color="auto" w:fill="FFFFFF"/>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8</w:t>
            </w:r>
          </w:p>
        </w:tc>
        <w:tc>
          <w:tcPr>
            <w:tcW w:w="825" w:type="pct"/>
            <w:tcBorders>
              <w:top w:val="single" w:color="DDDDDD" w:sz="4" w:space="0"/>
              <w:left w:val="single" w:color="DDDDDD" w:sz="4" w:space="0"/>
              <w:bottom w:val="single" w:color="DDDDDD" w:sz="4" w:space="0"/>
              <w:right w:val="single" w:color="4684D3" w:sz="4" w:space="0"/>
            </w:tcBorders>
            <w:shd w:val="clear" w:color="auto" w:fill="FFFFFF"/>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符合党中央、国务院和省委、省政府决策部署；符合当前经济社会发展需要</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0" w:hRule="atLeast"/>
          <w:jc w:val="center"/>
        </w:trPr>
        <w:tc>
          <w:tcPr>
            <w:tcW w:w="302" w:type="pct"/>
            <w:tcBorders>
              <w:top w:val="single" w:color="DDDDDD" w:sz="4" w:space="0"/>
              <w:left w:val="single" w:color="4684D3" w:sz="4" w:space="0"/>
              <w:bottom w:val="single" w:color="DDDDDD" w:sz="4" w:space="0"/>
              <w:right w:val="single" w:color="DDDDDD" w:sz="4" w:space="0"/>
            </w:tcBorders>
            <w:shd w:val="clear" w:color="auto" w:fill="FFFFFF"/>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b/>
                <w:bCs/>
                <w:i w:val="0"/>
                <w:iCs w:val="0"/>
                <w:color w:val="000000"/>
                <w:sz w:val="21"/>
                <w:szCs w:val="21"/>
                <w:u w:val="none"/>
              </w:rPr>
            </w:pPr>
            <w:r>
              <w:rPr>
                <w:rFonts w:hint="eastAsia" w:ascii="宋体" w:hAnsi="宋体" w:eastAsia="宋体" w:cs="宋体"/>
                <w:b/>
                <w:bCs/>
                <w:i w:val="0"/>
                <w:iCs w:val="0"/>
                <w:color w:val="000000"/>
                <w:kern w:val="0"/>
                <w:sz w:val="21"/>
                <w:szCs w:val="21"/>
                <w:u w:val="none"/>
                <w:lang w:val="en-US" w:eastAsia="zh-CN" w:bidi="ar"/>
              </w:rPr>
              <w:t>8%</w:t>
            </w:r>
          </w:p>
        </w:tc>
        <w:tc>
          <w:tcPr>
            <w:tcW w:w="262" w:type="pct"/>
            <w:vMerge w:val="continue"/>
            <w:tcBorders>
              <w:top w:val="single" w:color="DDDDDD" w:sz="4" w:space="0"/>
              <w:left w:val="single" w:color="DDDDDD" w:sz="4" w:space="0"/>
              <w:bottom w:val="single" w:color="DDDDDD" w:sz="4" w:space="0"/>
              <w:right w:val="single" w:color="DDDDDD" w:sz="0" w:space="0"/>
            </w:tcBorders>
            <w:shd w:val="clear" w:color="auto" w:fill="FFFFFF"/>
            <w:noWrap w:val="0"/>
            <w:vAlign w:val="center"/>
          </w:tcPr>
          <w:p>
            <w:pPr>
              <w:keepNext w:val="0"/>
              <w:keepLines w:val="0"/>
              <w:pageBreakBefore w:val="0"/>
              <w:widowControl/>
              <w:kinsoku/>
              <w:wordWrap/>
              <w:overflowPunct/>
              <w:topLinePunct w:val="0"/>
              <w:autoSpaceDE/>
              <w:autoSpaceDN/>
              <w:bidi w:val="0"/>
              <w:adjustRightInd/>
              <w:snapToGrid/>
              <w:spacing w:line="240" w:lineRule="exact"/>
              <w:jc w:val="center"/>
              <w:rPr>
                <w:rFonts w:hint="eastAsia" w:ascii="宋体" w:hAnsi="宋体" w:eastAsia="宋体" w:cs="宋体"/>
                <w:b/>
                <w:bCs/>
                <w:i w:val="0"/>
                <w:iCs w:val="0"/>
                <w:color w:val="000000"/>
                <w:sz w:val="21"/>
                <w:szCs w:val="21"/>
                <w:u w:val="none"/>
              </w:rPr>
            </w:pPr>
          </w:p>
        </w:tc>
        <w:tc>
          <w:tcPr>
            <w:tcW w:w="257" w:type="pct"/>
            <w:vMerge w:val="restart"/>
            <w:tcBorders>
              <w:top w:val="single" w:color="DDDDDD" w:sz="4" w:space="0"/>
              <w:left w:val="single" w:color="DDDDDD" w:sz="4" w:space="0"/>
              <w:bottom w:val="single" w:color="DDDDDD" w:sz="4" w:space="0"/>
              <w:right w:val="single" w:color="DDDDDD" w:sz="4" w:space="0"/>
            </w:tcBorders>
            <w:shd w:val="clear" w:color="auto" w:fill="FFFFFF"/>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绩效目标</w:t>
            </w:r>
          </w:p>
        </w:tc>
        <w:tc>
          <w:tcPr>
            <w:tcW w:w="413" w:type="pct"/>
            <w:tcBorders>
              <w:top w:val="single" w:color="DDDDDD" w:sz="4" w:space="0"/>
              <w:left w:val="single" w:color="DDDDDD" w:sz="4" w:space="0"/>
              <w:bottom w:val="single" w:color="DDDDDD" w:sz="4" w:space="0"/>
              <w:right w:val="single" w:color="DDDDDD" w:sz="4" w:space="0"/>
            </w:tcBorders>
            <w:shd w:val="clear" w:color="auto" w:fill="FFFFFF"/>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明确性</w:t>
            </w:r>
          </w:p>
        </w:tc>
        <w:tc>
          <w:tcPr>
            <w:tcW w:w="418" w:type="pct"/>
            <w:tcBorders>
              <w:top w:val="single" w:color="DDDDDD" w:sz="4" w:space="0"/>
              <w:left w:val="single" w:color="DDDDDD" w:sz="4" w:space="0"/>
              <w:bottom w:val="single" w:color="DDDDDD" w:sz="4" w:space="0"/>
              <w:right w:val="single" w:color="DDDDDD" w:sz="4" w:space="0"/>
            </w:tcBorders>
            <w:shd w:val="clear" w:color="auto" w:fill="FFFFFF"/>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项目预期产品、服务、效益或其他目标是否明确</w:t>
            </w:r>
          </w:p>
        </w:tc>
        <w:tc>
          <w:tcPr>
            <w:tcW w:w="250" w:type="pct"/>
            <w:tcBorders>
              <w:top w:val="single" w:color="DDDDDD" w:sz="4" w:space="0"/>
              <w:left w:val="single" w:color="DDDDDD" w:sz="4" w:space="0"/>
              <w:bottom w:val="single" w:color="DDDDDD" w:sz="4" w:space="0"/>
              <w:right w:val="single" w:color="DDDDDD" w:sz="4" w:space="0"/>
            </w:tcBorders>
            <w:shd w:val="clear" w:color="auto" w:fill="FFFFFF"/>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分级评分法</w:t>
            </w:r>
          </w:p>
        </w:tc>
        <w:tc>
          <w:tcPr>
            <w:tcW w:w="256" w:type="pct"/>
            <w:tcBorders>
              <w:top w:val="single" w:color="DDDDDD" w:sz="4" w:space="0"/>
              <w:left w:val="single" w:color="DDDDDD" w:sz="4" w:space="0"/>
              <w:bottom w:val="single" w:color="DDDDDD" w:sz="4" w:space="0"/>
              <w:right w:val="single" w:color="DDDDDD" w:sz="4" w:space="0"/>
            </w:tcBorders>
            <w:shd w:val="clear" w:color="auto" w:fill="FFFFFF"/>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不明确</w:t>
            </w:r>
          </w:p>
        </w:tc>
        <w:tc>
          <w:tcPr>
            <w:tcW w:w="321" w:type="pct"/>
            <w:tcBorders>
              <w:top w:val="single" w:color="DDDDDD" w:sz="4" w:space="0"/>
              <w:left w:val="single" w:color="DDDDDD" w:sz="4" w:space="0"/>
              <w:bottom w:val="single" w:color="DDDDDD" w:sz="4" w:space="0"/>
              <w:right w:val="single" w:color="DDDDDD" w:sz="4" w:space="0"/>
            </w:tcBorders>
            <w:shd w:val="clear" w:color="auto" w:fill="FFFFFF"/>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3处及以上不明确</w:t>
            </w:r>
          </w:p>
        </w:tc>
        <w:tc>
          <w:tcPr>
            <w:tcW w:w="310" w:type="pct"/>
            <w:tcBorders>
              <w:top w:val="single" w:color="DDDDDD" w:sz="4" w:space="0"/>
              <w:left w:val="single" w:color="DDDDDD" w:sz="4" w:space="0"/>
              <w:bottom w:val="single" w:color="DDDDDD" w:sz="4" w:space="0"/>
              <w:right w:val="single" w:color="DDDDDD" w:sz="4" w:space="0"/>
            </w:tcBorders>
            <w:shd w:val="clear" w:color="auto" w:fill="FFFFFF"/>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2处不明确</w:t>
            </w:r>
          </w:p>
        </w:tc>
        <w:tc>
          <w:tcPr>
            <w:tcW w:w="310" w:type="pct"/>
            <w:tcBorders>
              <w:top w:val="single" w:color="DDDDDD" w:sz="4" w:space="0"/>
              <w:left w:val="single" w:color="DDDDDD" w:sz="4" w:space="0"/>
              <w:bottom w:val="single" w:color="DDDDDD" w:sz="4" w:space="0"/>
              <w:right w:val="single" w:color="DDDDDD" w:sz="4" w:space="0"/>
            </w:tcBorders>
            <w:shd w:val="clear" w:color="auto" w:fill="FFFFFF"/>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1处不明确</w:t>
            </w:r>
          </w:p>
        </w:tc>
        <w:tc>
          <w:tcPr>
            <w:tcW w:w="252" w:type="pct"/>
            <w:tcBorders>
              <w:top w:val="single" w:color="DDDDDD" w:sz="4" w:space="0"/>
              <w:left w:val="single" w:color="DDDDDD" w:sz="4" w:space="0"/>
              <w:bottom w:val="single" w:color="DDDDDD" w:sz="4" w:space="0"/>
              <w:right w:val="single" w:color="DDDDDD" w:sz="4" w:space="0"/>
            </w:tcBorders>
            <w:shd w:val="clear" w:color="auto" w:fill="FFFFFF"/>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明确</w:t>
            </w:r>
          </w:p>
        </w:tc>
        <w:tc>
          <w:tcPr>
            <w:tcW w:w="573" w:type="pct"/>
            <w:tcBorders>
              <w:top w:val="single" w:color="DDDDDD" w:sz="4" w:space="0"/>
              <w:left w:val="single" w:color="DDDDDD" w:sz="4" w:space="0"/>
              <w:bottom w:val="single" w:color="DDDDDD" w:sz="4" w:space="0"/>
              <w:right w:val="single" w:color="DDDDDD" w:sz="4" w:space="0"/>
            </w:tcBorders>
            <w:shd w:val="clear" w:color="auto" w:fill="FFFFFF"/>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重点查看项目数量、质量、时效、成本、经济效益、社会效益、环境效益和可持续效益等是否明确</w:t>
            </w:r>
          </w:p>
        </w:tc>
        <w:tc>
          <w:tcPr>
            <w:tcW w:w="246" w:type="pct"/>
            <w:tcBorders>
              <w:top w:val="single" w:color="DDDDDD" w:sz="4" w:space="0"/>
              <w:left w:val="single" w:color="DDDDDD" w:sz="4" w:space="0"/>
              <w:bottom w:val="single" w:color="DDDDDD" w:sz="4" w:space="0"/>
              <w:right w:val="single" w:color="DDDDDD" w:sz="4" w:space="0"/>
            </w:tcBorders>
            <w:shd w:val="clear" w:color="auto" w:fill="FFFFFF"/>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8</w:t>
            </w:r>
          </w:p>
        </w:tc>
        <w:tc>
          <w:tcPr>
            <w:tcW w:w="825" w:type="pct"/>
            <w:tcBorders>
              <w:top w:val="single" w:color="DDDDDD" w:sz="4" w:space="0"/>
              <w:left w:val="single" w:color="DDDDDD" w:sz="4" w:space="0"/>
              <w:bottom w:val="single" w:color="DDDDDD" w:sz="4" w:space="0"/>
              <w:right w:val="single" w:color="4684D3" w:sz="4" w:space="0"/>
            </w:tcBorders>
            <w:shd w:val="clear" w:color="auto" w:fill="FFFFFF"/>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项目数量、质量、时效、成本、经济效益、社会效益、环境效益和可持续效益等是明确</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0" w:hRule="atLeast"/>
          <w:jc w:val="center"/>
        </w:trPr>
        <w:tc>
          <w:tcPr>
            <w:tcW w:w="302" w:type="pct"/>
            <w:tcBorders>
              <w:top w:val="single" w:color="DDDDDD" w:sz="4" w:space="0"/>
              <w:left w:val="single" w:color="4684D3" w:sz="4" w:space="0"/>
              <w:bottom w:val="single" w:color="DDDDDD" w:sz="4" w:space="0"/>
              <w:right w:val="single" w:color="DDDDDD" w:sz="4" w:space="0"/>
            </w:tcBorders>
            <w:shd w:val="clear" w:color="auto" w:fill="FFFFFF"/>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b/>
                <w:bCs/>
                <w:i w:val="0"/>
                <w:iCs w:val="0"/>
                <w:color w:val="000000"/>
                <w:sz w:val="21"/>
                <w:szCs w:val="21"/>
                <w:u w:val="none"/>
              </w:rPr>
            </w:pPr>
            <w:r>
              <w:rPr>
                <w:rFonts w:hint="eastAsia" w:ascii="宋体" w:hAnsi="宋体" w:eastAsia="宋体" w:cs="宋体"/>
                <w:b/>
                <w:bCs/>
                <w:i w:val="0"/>
                <w:iCs w:val="0"/>
                <w:color w:val="000000"/>
                <w:kern w:val="0"/>
                <w:sz w:val="21"/>
                <w:szCs w:val="21"/>
                <w:u w:val="none"/>
                <w:lang w:val="en-US" w:eastAsia="zh-CN" w:bidi="ar"/>
              </w:rPr>
              <w:t>8%</w:t>
            </w:r>
          </w:p>
        </w:tc>
        <w:tc>
          <w:tcPr>
            <w:tcW w:w="262" w:type="pct"/>
            <w:vMerge w:val="continue"/>
            <w:tcBorders>
              <w:top w:val="single" w:color="DDDDDD" w:sz="4" w:space="0"/>
              <w:left w:val="single" w:color="DDDDDD" w:sz="4" w:space="0"/>
              <w:bottom w:val="single" w:color="DDDDDD" w:sz="4" w:space="0"/>
              <w:right w:val="single" w:color="DDDDDD" w:sz="0" w:space="0"/>
            </w:tcBorders>
            <w:shd w:val="clear" w:color="auto" w:fill="FFFFFF"/>
            <w:noWrap w:val="0"/>
            <w:vAlign w:val="center"/>
          </w:tcPr>
          <w:p>
            <w:pPr>
              <w:keepNext w:val="0"/>
              <w:keepLines w:val="0"/>
              <w:pageBreakBefore w:val="0"/>
              <w:widowControl/>
              <w:kinsoku/>
              <w:wordWrap/>
              <w:overflowPunct/>
              <w:topLinePunct w:val="0"/>
              <w:autoSpaceDE/>
              <w:autoSpaceDN/>
              <w:bidi w:val="0"/>
              <w:adjustRightInd/>
              <w:snapToGrid/>
              <w:spacing w:line="240" w:lineRule="exact"/>
              <w:jc w:val="center"/>
              <w:rPr>
                <w:rFonts w:hint="eastAsia" w:ascii="宋体" w:hAnsi="宋体" w:eastAsia="宋体" w:cs="宋体"/>
                <w:b/>
                <w:bCs/>
                <w:i w:val="0"/>
                <w:iCs w:val="0"/>
                <w:color w:val="000000"/>
                <w:sz w:val="21"/>
                <w:szCs w:val="21"/>
                <w:u w:val="none"/>
              </w:rPr>
            </w:pPr>
          </w:p>
        </w:tc>
        <w:tc>
          <w:tcPr>
            <w:tcW w:w="257" w:type="pct"/>
            <w:vMerge w:val="continue"/>
            <w:tcBorders>
              <w:top w:val="single" w:color="DDDDDD" w:sz="4" w:space="0"/>
              <w:left w:val="single" w:color="DDDDDD" w:sz="4" w:space="0"/>
              <w:bottom w:val="single" w:color="DDDDDD" w:sz="4" w:space="0"/>
              <w:right w:val="single" w:color="DDDDDD" w:sz="4" w:space="0"/>
            </w:tcBorders>
            <w:shd w:val="clear" w:color="auto" w:fill="FFFFFF"/>
            <w:noWrap w:val="0"/>
            <w:vAlign w:val="center"/>
          </w:tcPr>
          <w:p>
            <w:pPr>
              <w:keepNext w:val="0"/>
              <w:keepLines w:val="0"/>
              <w:pageBreakBefore w:val="0"/>
              <w:widowControl/>
              <w:kinsoku/>
              <w:wordWrap/>
              <w:overflowPunct/>
              <w:topLinePunct w:val="0"/>
              <w:autoSpaceDE/>
              <w:autoSpaceDN/>
              <w:bidi w:val="0"/>
              <w:adjustRightInd/>
              <w:snapToGrid/>
              <w:spacing w:line="240" w:lineRule="exact"/>
              <w:jc w:val="center"/>
              <w:rPr>
                <w:rFonts w:hint="eastAsia" w:ascii="宋体" w:hAnsi="宋体" w:eastAsia="宋体" w:cs="宋体"/>
                <w:i w:val="0"/>
                <w:iCs w:val="0"/>
                <w:color w:val="000000"/>
                <w:sz w:val="21"/>
                <w:szCs w:val="21"/>
                <w:u w:val="none"/>
              </w:rPr>
            </w:pPr>
          </w:p>
        </w:tc>
        <w:tc>
          <w:tcPr>
            <w:tcW w:w="413" w:type="pct"/>
            <w:tcBorders>
              <w:top w:val="single" w:color="DDDDDD" w:sz="4" w:space="0"/>
              <w:left w:val="single" w:color="DDDDDD" w:sz="4" w:space="0"/>
              <w:bottom w:val="single" w:color="DDDDDD" w:sz="4" w:space="0"/>
              <w:right w:val="single" w:color="DDDDDD" w:sz="4" w:space="0"/>
            </w:tcBorders>
            <w:shd w:val="clear" w:color="auto" w:fill="FFFFFF"/>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合理性</w:t>
            </w:r>
          </w:p>
        </w:tc>
        <w:tc>
          <w:tcPr>
            <w:tcW w:w="418" w:type="pct"/>
            <w:tcBorders>
              <w:top w:val="single" w:color="DDDDDD" w:sz="4" w:space="0"/>
              <w:left w:val="single" w:color="DDDDDD" w:sz="4" w:space="0"/>
              <w:bottom w:val="single" w:color="DDDDDD" w:sz="4" w:space="0"/>
              <w:right w:val="single" w:color="DDDDDD" w:sz="4" w:space="0"/>
            </w:tcBorders>
            <w:shd w:val="clear" w:color="auto" w:fill="FFFFFF"/>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绩效目标设定符合实际需求，合理可行</w:t>
            </w:r>
          </w:p>
        </w:tc>
        <w:tc>
          <w:tcPr>
            <w:tcW w:w="250" w:type="pct"/>
            <w:tcBorders>
              <w:top w:val="single" w:color="DDDDDD" w:sz="4" w:space="0"/>
              <w:left w:val="single" w:color="DDDDDD" w:sz="4" w:space="0"/>
              <w:bottom w:val="single" w:color="DDDDDD" w:sz="4" w:space="0"/>
              <w:right w:val="single" w:color="DDDDDD" w:sz="4" w:space="0"/>
            </w:tcBorders>
            <w:shd w:val="clear" w:color="auto" w:fill="FFFFFF"/>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分级评分法</w:t>
            </w:r>
          </w:p>
        </w:tc>
        <w:tc>
          <w:tcPr>
            <w:tcW w:w="256" w:type="pct"/>
            <w:tcBorders>
              <w:top w:val="single" w:color="DDDDDD" w:sz="4" w:space="0"/>
              <w:left w:val="single" w:color="DDDDDD" w:sz="4" w:space="0"/>
              <w:bottom w:val="single" w:color="DDDDDD" w:sz="4" w:space="0"/>
              <w:right w:val="single" w:color="DDDDDD" w:sz="4" w:space="0"/>
            </w:tcBorders>
            <w:shd w:val="clear" w:color="auto" w:fill="FFFFFF"/>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不合理</w:t>
            </w:r>
          </w:p>
        </w:tc>
        <w:tc>
          <w:tcPr>
            <w:tcW w:w="321" w:type="pct"/>
            <w:tcBorders>
              <w:top w:val="single" w:color="DDDDDD" w:sz="4" w:space="0"/>
              <w:left w:val="single" w:color="DDDDDD" w:sz="4" w:space="0"/>
              <w:bottom w:val="single" w:color="DDDDDD" w:sz="4" w:space="0"/>
              <w:right w:val="single" w:color="DDDDDD" w:sz="4" w:space="0"/>
            </w:tcBorders>
            <w:shd w:val="clear" w:color="auto" w:fill="FFFFFF"/>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3处及以上不合理</w:t>
            </w:r>
          </w:p>
        </w:tc>
        <w:tc>
          <w:tcPr>
            <w:tcW w:w="310" w:type="pct"/>
            <w:tcBorders>
              <w:top w:val="single" w:color="DDDDDD" w:sz="4" w:space="0"/>
              <w:left w:val="single" w:color="DDDDDD" w:sz="4" w:space="0"/>
              <w:bottom w:val="single" w:color="DDDDDD" w:sz="4" w:space="0"/>
              <w:right w:val="single" w:color="DDDDDD" w:sz="4" w:space="0"/>
            </w:tcBorders>
            <w:shd w:val="clear" w:color="auto" w:fill="FFFFFF"/>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2处不合理</w:t>
            </w:r>
          </w:p>
        </w:tc>
        <w:tc>
          <w:tcPr>
            <w:tcW w:w="310" w:type="pct"/>
            <w:tcBorders>
              <w:top w:val="single" w:color="DDDDDD" w:sz="4" w:space="0"/>
              <w:left w:val="single" w:color="DDDDDD" w:sz="4" w:space="0"/>
              <w:bottom w:val="single" w:color="DDDDDD" w:sz="4" w:space="0"/>
              <w:right w:val="single" w:color="DDDDDD" w:sz="4" w:space="0"/>
            </w:tcBorders>
            <w:shd w:val="clear" w:color="auto" w:fill="FFFFFF"/>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1处不合理</w:t>
            </w:r>
          </w:p>
        </w:tc>
        <w:tc>
          <w:tcPr>
            <w:tcW w:w="252" w:type="pct"/>
            <w:tcBorders>
              <w:top w:val="single" w:color="DDDDDD" w:sz="4" w:space="0"/>
              <w:left w:val="single" w:color="DDDDDD" w:sz="4" w:space="0"/>
              <w:bottom w:val="single" w:color="DDDDDD" w:sz="4" w:space="0"/>
              <w:right w:val="single" w:color="DDDDDD" w:sz="4" w:space="0"/>
            </w:tcBorders>
            <w:shd w:val="clear" w:color="auto" w:fill="FFFFFF"/>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合理</w:t>
            </w:r>
          </w:p>
        </w:tc>
        <w:tc>
          <w:tcPr>
            <w:tcW w:w="573" w:type="pct"/>
            <w:tcBorders>
              <w:top w:val="single" w:color="DDDDDD" w:sz="4" w:space="0"/>
              <w:left w:val="single" w:color="DDDDDD" w:sz="4" w:space="0"/>
              <w:bottom w:val="single" w:color="DDDDDD" w:sz="4" w:space="0"/>
              <w:right w:val="single" w:color="DDDDDD" w:sz="4" w:space="0"/>
            </w:tcBorders>
            <w:shd w:val="clear" w:color="auto" w:fill="FFFFFF"/>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重点评价项目绩效目标预期值与实际需求之间的吻合度</w:t>
            </w:r>
          </w:p>
        </w:tc>
        <w:tc>
          <w:tcPr>
            <w:tcW w:w="246" w:type="pct"/>
            <w:tcBorders>
              <w:top w:val="single" w:color="DDDDDD" w:sz="4" w:space="0"/>
              <w:left w:val="single" w:color="DDDDDD" w:sz="4" w:space="0"/>
              <w:bottom w:val="single" w:color="DDDDDD" w:sz="4" w:space="0"/>
              <w:right w:val="single" w:color="DDDDDD" w:sz="4" w:space="0"/>
            </w:tcBorders>
            <w:shd w:val="clear" w:color="auto" w:fill="FFFFFF"/>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8</w:t>
            </w:r>
          </w:p>
        </w:tc>
        <w:tc>
          <w:tcPr>
            <w:tcW w:w="825" w:type="pct"/>
            <w:tcBorders>
              <w:top w:val="single" w:color="DDDDDD" w:sz="4" w:space="0"/>
              <w:left w:val="single" w:color="DDDDDD" w:sz="4" w:space="0"/>
              <w:bottom w:val="single" w:color="DDDDDD" w:sz="4" w:space="0"/>
              <w:right w:val="single" w:color="4684D3" w:sz="4" w:space="0"/>
            </w:tcBorders>
            <w:shd w:val="clear" w:color="auto" w:fill="FFFFFF"/>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项目绩效目标预期值与实际需求之间的吻合度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0" w:hRule="atLeast"/>
          <w:jc w:val="center"/>
        </w:trPr>
        <w:tc>
          <w:tcPr>
            <w:tcW w:w="302" w:type="pct"/>
            <w:tcBorders>
              <w:top w:val="single" w:color="DDDDDD" w:sz="4" w:space="0"/>
              <w:left w:val="single" w:color="4684D3" w:sz="4" w:space="0"/>
              <w:bottom w:val="single" w:color="DDDDDD" w:sz="4" w:space="0"/>
              <w:right w:val="single" w:color="DDDDDD" w:sz="4" w:space="0"/>
            </w:tcBorders>
            <w:shd w:val="clear" w:color="auto" w:fill="FFFFFF"/>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b/>
                <w:bCs/>
                <w:i w:val="0"/>
                <w:iCs w:val="0"/>
                <w:color w:val="000000"/>
                <w:sz w:val="21"/>
                <w:szCs w:val="21"/>
                <w:u w:val="none"/>
              </w:rPr>
            </w:pPr>
            <w:r>
              <w:rPr>
                <w:rFonts w:hint="eastAsia" w:ascii="宋体" w:hAnsi="宋体" w:eastAsia="宋体" w:cs="宋体"/>
                <w:b/>
                <w:bCs/>
                <w:i w:val="0"/>
                <w:iCs w:val="0"/>
                <w:color w:val="000000"/>
                <w:kern w:val="0"/>
                <w:sz w:val="21"/>
                <w:szCs w:val="21"/>
                <w:u w:val="none"/>
                <w:lang w:val="en-US" w:eastAsia="zh-CN" w:bidi="ar"/>
              </w:rPr>
              <w:t>8%</w:t>
            </w:r>
          </w:p>
        </w:tc>
        <w:tc>
          <w:tcPr>
            <w:tcW w:w="262" w:type="pct"/>
            <w:vMerge w:val="restart"/>
            <w:tcBorders>
              <w:top w:val="single" w:color="DDDDDD" w:sz="4" w:space="0"/>
              <w:left w:val="single" w:color="DDDDDD" w:sz="4" w:space="0"/>
              <w:bottom w:val="single" w:color="DDDDDD" w:sz="4" w:space="0"/>
              <w:right w:val="single" w:color="DDDDDD" w:sz="0" w:space="0"/>
            </w:tcBorders>
            <w:shd w:val="clear" w:color="auto" w:fill="FFFFFF"/>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b/>
                <w:bCs/>
                <w:i w:val="0"/>
                <w:iCs w:val="0"/>
                <w:color w:val="000000"/>
                <w:sz w:val="21"/>
                <w:szCs w:val="21"/>
                <w:u w:val="none"/>
              </w:rPr>
            </w:pPr>
            <w:r>
              <w:rPr>
                <w:rFonts w:hint="eastAsia" w:ascii="宋体" w:hAnsi="宋体" w:eastAsia="宋体" w:cs="宋体"/>
                <w:b/>
                <w:bCs/>
                <w:i w:val="0"/>
                <w:iCs w:val="0"/>
                <w:color w:val="000000"/>
                <w:kern w:val="0"/>
                <w:sz w:val="21"/>
                <w:szCs w:val="21"/>
                <w:u w:val="none"/>
                <w:lang w:val="en-US" w:eastAsia="zh-CN" w:bidi="ar"/>
              </w:rPr>
              <w:t>项目实施</w:t>
            </w:r>
          </w:p>
        </w:tc>
        <w:tc>
          <w:tcPr>
            <w:tcW w:w="257" w:type="pct"/>
            <w:tcBorders>
              <w:top w:val="single" w:color="DDDDDD" w:sz="4" w:space="0"/>
              <w:left w:val="single" w:color="DDDDDD" w:sz="4" w:space="0"/>
              <w:bottom w:val="single" w:color="DDDDDD" w:sz="0" w:space="0"/>
              <w:right w:val="single" w:color="DDDDDD" w:sz="4" w:space="0"/>
            </w:tcBorders>
            <w:shd w:val="clear" w:color="auto" w:fill="FFFFFF"/>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资金管理</w:t>
            </w:r>
          </w:p>
        </w:tc>
        <w:tc>
          <w:tcPr>
            <w:tcW w:w="413" w:type="pct"/>
            <w:tcBorders>
              <w:top w:val="single" w:color="DDDDDD" w:sz="4" w:space="0"/>
              <w:left w:val="single" w:color="DDDDDD" w:sz="4" w:space="0"/>
              <w:bottom w:val="single" w:color="DDDDDD" w:sz="4" w:space="0"/>
              <w:right w:val="single" w:color="DDDDDD" w:sz="4" w:space="0"/>
            </w:tcBorders>
            <w:shd w:val="clear" w:color="auto" w:fill="FFFFFF"/>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资金分配科学性</w:t>
            </w:r>
          </w:p>
        </w:tc>
        <w:tc>
          <w:tcPr>
            <w:tcW w:w="418" w:type="pct"/>
            <w:tcBorders>
              <w:top w:val="single" w:color="DDDDDD" w:sz="4" w:space="0"/>
              <w:left w:val="single" w:color="DDDDDD" w:sz="4" w:space="0"/>
              <w:bottom w:val="single" w:color="DDDDDD" w:sz="4" w:space="0"/>
              <w:right w:val="single" w:color="DDDDDD" w:sz="4" w:space="0"/>
            </w:tcBorders>
            <w:shd w:val="clear" w:color="auto" w:fill="FFFFFF"/>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项目资金分配是否科学合理</w:t>
            </w:r>
          </w:p>
        </w:tc>
        <w:tc>
          <w:tcPr>
            <w:tcW w:w="250" w:type="pct"/>
            <w:tcBorders>
              <w:top w:val="single" w:color="DDDDDD" w:sz="4" w:space="0"/>
              <w:left w:val="single" w:color="DDDDDD" w:sz="4" w:space="0"/>
              <w:bottom w:val="single" w:color="DDDDDD" w:sz="4" w:space="0"/>
              <w:right w:val="single" w:color="DDDDDD" w:sz="4" w:space="0"/>
            </w:tcBorders>
            <w:shd w:val="clear" w:color="auto" w:fill="FFFFFF"/>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分级评分法</w:t>
            </w:r>
          </w:p>
        </w:tc>
        <w:tc>
          <w:tcPr>
            <w:tcW w:w="256" w:type="pct"/>
            <w:tcBorders>
              <w:top w:val="single" w:color="DDDDDD" w:sz="4" w:space="0"/>
              <w:left w:val="single" w:color="DDDDDD" w:sz="4" w:space="0"/>
              <w:bottom w:val="single" w:color="DDDDDD" w:sz="4" w:space="0"/>
              <w:right w:val="single" w:color="DDDDDD" w:sz="4" w:space="0"/>
            </w:tcBorders>
            <w:shd w:val="clear" w:color="auto" w:fill="FFFFFF"/>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不科学</w:t>
            </w:r>
          </w:p>
        </w:tc>
        <w:tc>
          <w:tcPr>
            <w:tcW w:w="321" w:type="pct"/>
            <w:tcBorders>
              <w:top w:val="single" w:color="DDDDDD" w:sz="4" w:space="0"/>
              <w:left w:val="single" w:color="DDDDDD" w:sz="4" w:space="0"/>
              <w:bottom w:val="single" w:color="DDDDDD" w:sz="4" w:space="0"/>
              <w:right w:val="single" w:color="DDDDDD" w:sz="4" w:space="0"/>
            </w:tcBorders>
            <w:shd w:val="clear" w:color="auto" w:fill="FFFFFF"/>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3处及以上存在问题</w:t>
            </w:r>
          </w:p>
        </w:tc>
        <w:tc>
          <w:tcPr>
            <w:tcW w:w="310" w:type="pct"/>
            <w:tcBorders>
              <w:top w:val="single" w:color="DDDDDD" w:sz="4" w:space="0"/>
              <w:left w:val="single" w:color="DDDDDD" w:sz="4" w:space="0"/>
              <w:bottom w:val="single" w:color="DDDDDD" w:sz="4" w:space="0"/>
              <w:right w:val="single" w:color="DDDDDD" w:sz="4" w:space="0"/>
            </w:tcBorders>
            <w:shd w:val="clear" w:color="auto" w:fill="FFFFFF"/>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2处存在问题</w:t>
            </w:r>
          </w:p>
        </w:tc>
        <w:tc>
          <w:tcPr>
            <w:tcW w:w="310" w:type="pct"/>
            <w:tcBorders>
              <w:top w:val="single" w:color="DDDDDD" w:sz="4" w:space="0"/>
              <w:left w:val="single" w:color="DDDDDD" w:sz="4" w:space="0"/>
              <w:bottom w:val="single" w:color="DDDDDD" w:sz="4" w:space="0"/>
              <w:right w:val="single" w:color="DDDDDD" w:sz="4" w:space="0"/>
            </w:tcBorders>
            <w:shd w:val="clear" w:color="auto" w:fill="FFFFFF"/>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1处存在问题</w:t>
            </w:r>
          </w:p>
        </w:tc>
        <w:tc>
          <w:tcPr>
            <w:tcW w:w="252" w:type="pct"/>
            <w:tcBorders>
              <w:top w:val="single" w:color="DDDDDD" w:sz="4" w:space="0"/>
              <w:left w:val="single" w:color="DDDDDD" w:sz="4" w:space="0"/>
              <w:bottom w:val="single" w:color="DDDDDD" w:sz="4" w:space="0"/>
              <w:right w:val="single" w:color="DDDDDD" w:sz="4" w:space="0"/>
            </w:tcBorders>
            <w:shd w:val="clear" w:color="auto" w:fill="FFFFFF"/>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分配科学合理</w:t>
            </w:r>
          </w:p>
        </w:tc>
        <w:tc>
          <w:tcPr>
            <w:tcW w:w="573" w:type="pct"/>
            <w:tcBorders>
              <w:top w:val="single" w:color="DDDDDD" w:sz="4" w:space="0"/>
              <w:left w:val="single" w:color="DDDDDD" w:sz="4" w:space="0"/>
              <w:bottom w:val="single" w:color="DDDDDD" w:sz="4" w:space="0"/>
              <w:right w:val="single" w:color="DDDDDD" w:sz="4" w:space="0"/>
            </w:tcBorders>
            <w:shd w:val="clear" w:color="auto" w:fill="FFFFFF"/>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资金分配管理是否科学合理、规范有序;是否体现突出重点或公平性，符合财政资金改革方向。资金分配的时效、方式、结构是否趋于最优化选择</w:t>
            </w:r>
          </w:p>
        </w:tc>
        <w:tc>
          <w:tcPr>
            <w:tcW w:w="246" w:type="pct"/>
            <w:tcBorders>
              <w:top w:val="single" w:color="DDDDDD" w:sz="4" w:space="0"/>
              <w:left w:val="single" w:color="DDDDDD" w:sz="4" w:space="0"/>
              <w:bottom w:val="single" w:color="DDDDDD" w:sz="4" w:space="0"/>
              <w:right w:val="single" w:color="DDDDDD" w:sz="4" w:space="0"/>
            </w:tcBorders>
            <w:shd w:val="clear" w:color="auto" w:fill="FFFFFF"/>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8</w:t>
            </w:r>
          </w:p>
        </w:tc>
        <w:tc>
          <w:tcPr>
            <w:tcW w:w="825" w:type="pct"/>
            <w:tcBorders>
              <w:top w:val="single" w:color="DDDDDD" w:sz="4" w:space="0"/>
              <w:left w:val="single" w:color="DDDDDD" w:sz="4" w:space="0"/>
              <w:bottom w:val="single" w:color="DDDDDD" w:sz="4" w:space="0"/>
              <w:right w:val="single" w:color="4684D3" w:sz="4" w:space="0"/>
            </w:tcBorders>
            <w:shd w:val="clear" w:color="auto" w:fill="FFFFFF"/>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资金分配管理是科学合理、规范有序;是否体现突出重点或公平性，符合财政资金改革方向。资金分配的时效、方式、结构是趋于最优化选择</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0" w:hRule="atLeast"/>
          <w:jc w:val="center"/>
        </w:trPr>
        <w:tc>
          <w:tcPr>
            <w:tcW w:w="302" w:type="pct"/>
            <w:tcBorders>
              <w:top w:val="single" w:color="DDDDDD" w:sz="4" w:space="0"/>
              <w:left w:val="single" w:color="4684D3" w:sz="4" w:space="0"/>
              <w:bottom w:val="single" w:color="DDDDDD" w:sz="4" w:space="0"/>
              <w:right w:val="single" w:color="DDDDDD" w:sz="4" w:space="0"/>
            </w:tcBorders>
            <w:shd w:val="clear" w:color="auto" w:fill="FFFFFF"/>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b/>
                <w:bCs/>
                <w:i w:val="0"/>
                <w:iCs w:val="0"/>
                <w:color w:val="000000"/>
                <w:sz w:val="21"/>
                <w:szCs w:val="21"/>
                <w:u w:val="none"/>
              </w:rPr>
            </w:pPr>
            <w:r>
              <w:rPr>
                <w:rFonts w:hint="eastAsia" w:ascii="宋体" w:hAnsi="宋体" w:eastAsia="宋体" w:cs="宋体"/>
                <w:b/>
                <w:bCs/>
                <w:i w:val="0"/>
                <w:iCs w:val="0"/>
                <w:color w:val="000000"/>
                <w:kern w:val="0"/>
                <w:sz w:val="21"/>
                <w:szCs w:val="21"/>
                <w:u w:val="none"/>
                <w:lang w:val="en-US" w:eastAsia="zh-CN" w:bidi="ar"/>
              </w:rPr>
              <w:t>8%</w:t>
            </w:r>
          </w:p>
        </w:tc>
        <w:tc>
          <w:tcPr>
            <w:tcW w:w="262" w:type="pct"/>
            <w:vMerge w:val="continue"/>
            <w:tcBorders>
              <w:top w:val="single" w:color="DDDDDD" w:sz="4" w:space="0"/>
              <w:left w:val="single" w:color="DDDDDD" w:sz="4" w:space="0"/>
              <w:bottom w:val="single" w:color="DDDDDD" w:sz="4" w:space="0"/>
              <w:right w:val="single" w:color="DDDDDD" w:sz="0" w:space="0"/>
            </w:tcBorders>
            <w:shd w:val="clear" w:color="auto" w:fill="FFFFFF"/>
            <w:noWrap w:val="0"/>
            <w:vAlign w:val="center"/>
          </w:tcPr>
          <w:p>
            <w:pPr>
              <w:keepNext w:val="0"/>
              <w:keepLines w:val="0"/>
              <w:pageBreakBefore w:val="0"/>
              <w:widowControl/>
              <w:kinsoku/>
              <w:wordWrap/>
              <w:overflowPunct/>
              <w:topLinePunct w:val="0"/>
              <w:autoSpaceDE/>
              <w:autoSpaceDN/>
              <w:bidi w:val="0"/>
              <w:adjustRightInd/>
              <w:snapToGrid/>
              <w:spacing w:line="240" w:lineRule="exact"/>
              <w:jc w:val="center"/>
              <w:rPr>
                <w:rFonts w:hint="eastAsia" w:ascii="宋体" w:hAnsi="宋体" w:eastAsia="宋体" w:cs="宋体"/>
                <w:b/>
                <w:bCs/>
                <w:i w:val="0"/>
                <w:iCs w:val="0"/>
                <w:color w:val="000000"/>
                <w:sz w:val="21"/>
                <w:szCs w:val="21"/>
                <w:u w:val="none"/>
              </w:rPr>
            </w:pPr>
          </w:p>
        </w:tc>
        <w:tc>
          <w:tcPr>
            <w:tcW w:w="257" w:type="pct"/>
            <w:vMerge w:val="restart"/>
            <w:tcBorders>
              <w:top w:val="single" w:color="DDDDDD" w:sz="4" w:space="0"/>
              <w:left w:val="single" w:color="DDDDDD" w:sz="4" w:space="0"/>
              <w:bottom w:val="single" w:color="DDDDDD" w:sz="4" w:space="0"/>
              <w:right w:val="single" w:color="DDDDDD" w:sz="4" w:space="0"/>
            </w:tcBorders>
            <w:shd w:val="clear" w:color="auto" w:fill="FFFFFF"/>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过程控制</w:t>
            </w:r>
          </w:p>
        </w:tc>
        <w:tc>
          <w:tcPr>
            <w:tcW w:w="413" w:type="pct"/>
            <w:tcBorders>
              <w:top w:val="single" w:color="DDDDDD" w:sz="4" w:space="0"/>
              <w:left w:val="single" w:color="DDDDDD" w:sz="4" w:space="0"/>
              <w:bottom w:val="single" w:color="DDDDDD" w:sz="4" w:space="0"/>
              <w:right w:val="single" w:color="DDDDDD" w:sz="4" w:space="0"/>
            </w:tcBorders>
            <w:shd w:val="clear" w:color="auto" w:fill="FFFFFF"/>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财务管理规范性</w:t>
            </w:r>
          </w:p>
        </w:tc>
        <w:tc>
          <w:tcPr>
            <w:tcW w:w="418" w:type="pct"/>
            <w:tcBorders>
              <w:top w:val="single" w:color="DDDDDD" w:sz="4" w:space="0"/>
              <w:left w:val="single" w:color="DDDDDD" w:sz="4" w:space="0"/>
              <w:bottom w:val="single" w:color="DDDDDD" w:sz="4" w:space="0"/>
              <w:right w:val="single" w:color="DDDDDD" w:sz="4" w:space="0"/>
            </w:tcBorders>
            <w:shd w:val="clear" w:color="auto" w:fill="FFFFFF"/>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财务管理是否规范</w:t>
            </w:r>
          </w:p>
        </w:tc>
        <w:tc>
          <w:tcPr>
            <w:tcW w:w="250" w:type="pct"/>
            <w:tcBorders>
              <w:top w:val="single" w:color="DDDDDD" w:sz="4" w:space="0"/>
              <w:left w:val="single" w:color="DDDDDD" w:sz="4" w:space="0"/>
              <w:bottom w:val="single" w:color="DDDDDD" w:sz="4" w:space="0"/>
              <w:right w:val="single" w:color="DDDDDD" w:sz="4" w:space="0"/>
            </w:tcBorders>
            <w:shd w:val="clear" w:color="auto" w:fill="FFFFFF"/>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分级评分法</w:t>
            </w:r>
          </w:p>
        </w:tc>
        <w:tc>
          <w:tcPr>
            <w:tcW w:w="256" w:type="pct"/>
            <w:tcBorders>
              <w:top w:val="single" w:color="DDDDDD" w:sz="4" w:space="0"/>
              <w:left w:val="single" w:color="DDDDDD" w:sz="4" w:space="0"/>
              <w:bottom w:val="single" w:color="DDDDDD" w:sz="4" w:space="0"/>
              <w:right w:val="single" w:color="DDDDDD" w:sz="4" w:space="0"/>
            </w:tcBorders>
            <w:shd w:val="clear" w:color="auto" w:fill="FFFFFF"/>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4处问题及以上</w:t>
            </w:r>
          </w:p>
        </w:tc>
        <w:tc>
          <w:tcPr>
            <w:tcW w:w="321" w:type="pct"/>
            <w:tcBorders>
              <w:top w:val="single" w:color="DDDDDD" w:sz="4" w:space="0"/>
              <w:left w:val="single" w:color="DDDDDD" w:sz="4" w:space="0"/>
              <w:bottom w:val="single" w:color="DDDDDD" w:sz="4" w:space="0"/>
              <w:right w:val="single" w:color="DDDDDD" w:sz="4" w:space="0"/>
            </w:tcBorders>
            <w:shd w:val="clear" w:color="auto" w:fill="FFFFFF"/>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3处及以上存在问题</w:t>
            </w:r>
          </w:p>
        </w:tc>
        <w:tc>
          <w:tcPr>
            <w:tcW w:w="310" w:type="pct"/>
            <w:tcBorders>
              <w:top w:val="single" w:color="DDDDDD" w:sz="4" w:space="0"/>
              <w:left w:val="single" w:color="DDDDDD" w:sz="4" w:space="0"/>
              <w:bottom w:val="single" w:color="DDDDDD" w:sz="4" w:space="0"/>
              <w:right w:val="single" w:color="DDDDDD" w:sz="4" w:space="0"/>
            </w:tcBorders>
            <w:shd w:val="clear" w:color="auto" w:fill="FFFFFF"/>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2处存在问题</w:t>
            </w:r>
          </w:p>
        </w:tc>
        <w:tc>
          <w:tcPr>
            <w:tcW w:w="310" w:type="pct"/>
            <w:tcBorders>
              <w:top w:val="single" w:color="DDDDDD" w:sz="4" w:space="0"/>
              <w:left w:val="single" w:color="DDDDDD" w:sz="4" w:space="0"/>
              <w:bottom w:val="single" w:color="DDDDDD" w:sz="4" w:space="0"/>
              <w:right w:val="single" w:color="DDDDDD" w:sz="4" w:space="0"/>
            </w:tcBorders>
            <w:shd w:val="clear" w:color="auto" w:fill="FFFFFF"/>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1处存在问题</w:t>
            </w:r>
          </w:p>
        </w:tc>
        <w:tc>
          <w:tcPr>
            <w:tcW w:w="252" w:type="pct"/>
            <w:tcBorders>
              <w:top w:val="single" w:color="DDDDDD" w:sz="4" w:space="0"/>
              <w:left w:val="single" w:color="DDDDDD" w:sz="4" w:space="0"/>
              <w:bottom w:val="single" w:color="DDDDDD" w:sz="4" w:space="0"/>
              <w:right w:val="single" w:color="DDDDDD" w:sz="4" w:space="0"/>
            </w:tcBorders>
            <w:shd w:val="clear" w:color="auto" w:fill="FFFFFF"/>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管理规范</w:t>
            </w:r>
          </w:p>
        </w:tc>
        <w:tc>
          <w:tcPr>
            <w:tcW w:w="573" w:type="pct"/>
            <w:tcBorders>
              <w:top w:val="single" w:color="DDDDDD" w:sz="4" w:space="0"/>
              <w:left w:val="single" w:color="DDDDDD" w:sz="4" w:space="0"/>
              <w:bottom w:val="single" w:color="DDDDDD" w:sz="4" w:space="0"/>
              <w:right w:val="single" w:color="DDDDDD" w:sz="4" w:space="0"/>
            </w:tcBorders>
            <w:shd w:val="clear" w:color="auto" w:fill="FFFFFF"/>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财务管理制度是否健全完善，会计核算是否规范</w:t>
            </w:r>
          </w:p>
        </w:tc>
        <w:tc>
          <w:tcPr>
            <w:tcW w:w="246" w:type="pct"/>
            <w:tcBorders>
              <w:top w:val="single" w:color="DDDDDD" w:sz="4" w:space="0"/>
              <w:left w:val="single" w:color="DDDDDD" w:sz="4" w:space="0"/>
              <w:bottom w:val="single" w:color="DDDDDD" w:sz="4" w:space="0"/>
              <w:right w:val="single" w:color="DDDDDD" w:sz="4" w:space="0"/>
            </w:tcBorders>
            <w:shd w:val="clear" w:color="auto" w:fill="FFFFFF"/>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8</w:t>
            </w:r>
          </w:p>
        </w:tc>
        <w:tc>
          <w:tcPr>
            <w:tcW w:w="825" w:type="pct"/>
            <w:tcBorders>
              <w:top w:val="single" w:color="DDDDDD" w:sz="4" w:space="0"/>
              <w:left w:val="single" w:color="DDDDDD" w:sz="4" w:space="0"/>
              <w:bottom w:val="single" w:color="DDDDDD" w:sz="4" w:space="0"/>
              <w:right w:val="single" w:color="4684D3" w:sz="4" w:space="0"/>
            </w:tcBorders>
            <w:shd w:val="clear" w:color="auto" w:fill="FFFFFF"/>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财务管理制度健全完善，会计核算规范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0" w:hRule="atLeast"/>
          <w:jc w:val="center"/>
        </w:trPr>
        <w:tc>
          <w:tcPr>
            <w:tcW w:w="302" w:type="pct"/>
            <w:tcBorders>
              <w:top w:val="single" w:color="DDDDDD" w:sz="4" w:space="0"/>
              <w:left w:val="single" w:color="4684D3" w:sz="4" w:space="0"/>
              <w:bottom w:val="single" w:color="DDDDDD" w:sz="4" w:space="0"/>
              <w:right w:val="single" w:color="DDDDDD" w:sz="4" w:space="0"/>
            </w:tcBorders>
            <w:shd w:val="clear" w:color="auto" w:fill="FFFFFF"/>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b/>
                <w:bCs/>
                <w:i w:val="0"/>
                <w:iCs w:val="0"/>
                <w:color w:val="000000"/>
                <w:sz w:val="21"/>
                <w:szCs w:val="21"/>
                <w:u w:val="none"/>
              </w:rPr>
            </w:pPr>
            <w:r>
              <w:rPr>
                <w:rFonts w:hint="eastAsia" w:ascii="宋体" w:hAnsi="宋体" w:eastAsia="宋体" w:cs="宋体"/>
                <w:b/>
                <w:bCs/>
                <w:i w:val="0"/>
                <w:iCs w:val="0"/>
                <w:color w:val="000000"/>
                <w:kern w:val="0"/>
                <w:sz w:val="21"/>
                <w:szCs w:val="21"/>
                <w:u w:val="none"/>
                <w:lang w:val="en-US" w:eastAsia="zh-CN" w:bidi="ar"/>
              </w:rPr>
              <w:t>8%</w:t>
            </w:r>
          </w:p>
        </w:tc>
        <w:tc>
          <w:tcPr>
            <w:tcW w:w="262" w:type="pct"/>
            <w:vMerge w:val="continue"/>
            <w:tcBorders>
              <w:top w:val="single" w:color="DDDDDD" w:sz="4" w:space="0"/>
              <w:left w:val="single" w:color="DDDDDD" w:sz="4" w:space="0"/>
              <w:bottom w:val="single" w:color="DDDDDD" w:sz="4" w:space="0"/>
              <w:right w:val="single" w:color="DDDDDD" w:sz="0" w:space="0"/>
            </w:tcBorders>
            <w:shd w:val="clear" w:color="auto" w:fill="FFFFFF"/>
            <w:noWrap w:val="0"/>
            <w:vAlign w:val="center"/>
          </w:tcPr>
          <w:p>
            <w:pPr>
              <w:keepNext w:val="0"/>
              <w:keepLines w:val="0"/>
              <w:pageBreakBefore w:val="0"/>
              <w:widowControl/>
              <w:kinsoku/>
              <w:wordWrap/>
              <w:overflowPunct/>
              <w:topLinePunct w:val="0"/>
              <w:autoSpaceDE/>
              <w:autoSpaceDN/>
              <w:bidi w:val="0"/>
              <w:adjustRightInd/>
              <w:snapToGrid/>
              <w:spacing w:line="240" w:lineRule="exact"/>
              <w:jc w:val="center"/>
              <w:rPr>
                <w:rFonts w:hint="eastAsia" w:ascii="宋体" w:hAnsi="宋体" w:eastAsia="宋体" w:cs="宋体"/>
                <w:b/>
                <w:bCs/>
                <w:i w:val="0"/>
                <w:iCs w:val="0"/>
                <w:color w:val="000000"/>
                <w:sz w:val="21"/>
                <w:szCs w:val="21"/>
                <w:u w:val="none"/>
              </w:rPr>
            </w:pPr>
          </w:p>
        </w:tc>
        <w:tc>
          <w:tcPr>
            <w:tcW w:w="257" w:type="pct"/>
            <w:vMerge w:val="continue"/>
            <w:tcBorders>
              <w:top w:val="single" w:color="DDDDDD" w:sz="4" w:space="0"/>
              <w:left w:val="single" w:color="DDDDDD" w:sz="4" w:space="0"/>
              <w:bottom w:val="single" w:color="DDDDDD" w:sz="4" w:space="0"/>
              <w:right w:val="single" w:color="DDDDDD" w:sz="4" w:space="0"/>
            </w:tcBorders>
            <w:shd w:val="clear" w:color="auto" w:fill="FFFFFF"/>
            <w:noWrap w:val="0"/>
            <w:vAlign w:val="center"/>
          </w:tcPr>
          <w:p>
            <w:pPr>
              <w:keepNext w:val="0"/>
              <w:keepLines w:val="0"/>
              <w:pageBreakBefore w:val="0"/>
              <w:widowControl/>
              <w:kinsoku/>
              <w:wordWrap/>
              <w:overflowPunct/>
              <w:topLinePunct w:val="0"/>
              <w:autoSpaceDE/>
              <w:autoSpaceDN/>
              <w:bidi w:val="0"/>
              <w:adjustRightInd/>
              <w:snapToGrid/>
              <w:spacing w:line="240" w:lineRule="exact"/>
              <w:jc w:val="center"/>
              <w:rPr>
                <w:rFonts w:hint="eastAsia" w:ascii="宋体" w:hAnsi="宋体" w:eastAsia="宋体" w:cs="宋体"/>
                <w:i w:val="0"/>
                <w:iCs w:val="0"/>
                <w:color w:val="000000"/>
                <w:sz w:val="21"/>
                <w:szCs w:val="21"/>
                <w:u w:val="none"/>
              </w:rPr>
            </w:pPr>
          </w:p>
        </w:tc>
        <w:tc>
          <w:tcPr>
            <w:tcW w:w="413" w:type="pct"/>
            <w:tcBorders>
              <w:top w:val="single" w:color="DDDDDD" w:sz="4" w:space="0"/>
              <w:left w:val="single" w:color="DDDDDD" w:sz="4" w:space="0"/>
              <w:bottom w:val="single" w:color="DDDDDD" w:sz="4" w:space="0"/>
              <w:right w:val="single" w:color="DDDDDD" w:sz="4" w:space="0"/>
            </w:tcBorders>
            <w:shd w:val="clear" w:color="auto" w:fill="FFFFFF"/>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业务管理规范性</w:t>
            </w:r>
          </w:p>
        </w:tc>
        <w:tc>
          <w:tcPr>
            <w:tcW w:w="418" w:type="pct"/>
            <w:tcBorders>
              <w:top w:val="single" w:color="DDDDDD" w:sz="4" w:space="0"/>
              <w:left w:val="single" w:color="DDDDDD" w:sz="4" w:space="0"/>
              <w:bottom w:val="single" w:color="DDDDDD" w:sz="4" w:space="0"/>
              <w:right w:val="single" w:color="DDDDDD" w:sz="4" w:space="0"/>
            </w:tcBorders>
            <w:shd w:val="clear" w:color="auto" w:fill="FFFFFF"/>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业务管理是否规范</w:t>
            </w:r>
          </w:p>
        </w:tc>
        <w:tc>
          <w:tcPr>
            <w:tcW w:w="250" w:type="pct"/>
            <w:tcBorders>
              <w:top w:val="single" w:color="DDDDDD" w:sz="4" w:space="0"/>
              <w:left w:val="single" w:color="DDDDDD" w:sz="4" w:space="0"/>
              <w:bottom w:val="single" w:color="DDDDDD" w:sz="4" w:space="0"/>
              <w:right w:val="single" w:color="DDDDDD" w:sz="4" w:space="0"/>
            </w:tcBorders>
            <w:shd w:val="clear" w:color="auto" w:fill="FFFFFF"/>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分级评分法</w:t>
            </w:r>
          </w:p>
        </w:tc>
        <w:tc>
          <w:tcPr>
            <w:tcW w:w="256" w:type="pct"/>
            <w:tcBorders>
              <w:top w:val="single" w:color="DDDDDD" w:sz="4" w:space="0"/>
              <w:left w:val="single" w:color="DDDDDD" w:sz="4" w:space="0"/>
              <w:bottom w:val="single" w:color="DDDDDD" w:sz="4" w:space="0"/>
              <w:right w:val="single" w:color="DDDDDD" w:sz="4" w:space="0"/>
            </w:tcBorders>
            <w:shd w:val="clear" w:color="auto" w:fill="FFFFFF"/>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4处问题及以上</w:t>
            </w:r>
          </w:p>
        </w:tc>
        <w:tc>
          <w:tcPr>
            <w:tcW w:w="321" w:type="pct"/>
            <w:tcBorders>
              <w:top w:val="single" w:color="DDDDDD" w:sz="4" w:space="0"/>
              <w:left w:val="single" w:color="DDDDDD" w:sz="4" w:space="0"/>
              <w:bottom w:val="single" w:color="DDDDDD" w:sz="4" w:space="0"/>
              <w:right w:val="single" w:color="DDDDDD" w:sz="4" w:space="0"/>
            </w:tcBorders>
            <w:shd w:val="clear" w:color="auto" w:fill="FFFFFF"/>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3处及以上存在问题</w:t>
            </w:r>
          </w:p>
        </w:tc>
        <w:tc>
          <w:tcPr>
            <w:tcW w:w="310" w:type="pct"/>
            <w:tcBorders>
              <w:top w:val="single" w:color="DDDDDD" w:sz="4" w:space="0"/>
              <w:left w:val="single" w:color="DDDDDD" w:sz="4" w:space="0"/>
              <w:bottom w:val="single" w:color="DDDDDD" w:sz="4" w:space="0"/>
              <w:right w:val="single" w:color="DDDDDD" w:sz="4" w:space="0"/>
            </w:tcBorders>
            <w:shd w:val="clear" w:color="auto" w:fill="FFFFFF"/>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2处存在问题</w:t>
            </w:r>
          </w:p>
        </w:tc>
        <w:tc>
          <w:tcPr>
            <w:tcW w:w="310" w:type="pct"/>
            <w:tcBorders>
              <w:top w:val="single" w:color="DDDDDD" w:sz="4" w:space="0"/>
              <w:left w:val="single" w:color="DDDDDD" w:sz="4" w:space="0"/>
              <w:bottom w:val="single" w:color="DDDDDD" w:sz="4" w:space="0"/>
              <w:right w:val="single" w:color="DDDDDD" w:sz="4" w:space="0"/>
            </w:tcBorders>
            <w:shd w:val="clear" w:color="auto" w:fill="FFFFFF"/>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1处存在问题</w:t>
            </w:r>
          </w:p>
        </w:tc>
        <w:tc>
          <w:tcPr>
            <w:tcW w:w="252" w:type="pct"/>
            <w:tcBorders>
              <w:top w:val="single" w:color="DDDDDD" w:sz="4" w:space="0"/>
              <w:left w:val="single" w:color="DDDDDD" w:sz="4" w:space="0"/>
              <w:bottom w:val="single" w:color="DDDDDD" w:sz="4" w:space="0"/>
              <w:right w:val="single" w:color="DDDDDD" w:sz="4" w:space="0"/>
            </w:tcBorders>
            <w:shd w:val="clear" w:color="auto" w:fill="FFFFFF"/>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管理规范</w:t>
            </w:r>
          </w:p>
        </w:tc>
        <w:tc>
          <w:tcPr>
            <w:tcW w:w="573" w:type="pct"/>
            <w:tcBorders>
              <w:top w:val="single" w:color="DDDDDD" w:sz="4" w:space="0"/>
              <w:left w:val="single" w:color="DDDDDD" w:sz="4" w:space="0"/>
              <w:bottom w:val="single" w:color="DDDDDD" w:sz="4" w:space="0"/>
              <w:right w:val="single" w:color="DDDDDD" w:sz="4" w:space="0"/>
            </w:tcBorders>
            <w:shd w:val="clear" w:color="auto" w:fill="FFFFFF"/>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项目管理制度是否健全完善，执行是否有效。包括程序完善性，采购和公示制度的严格执行，进度安排、成本和风险控制、质量管理等</w:t>
            </w:r>
          </w:p>
        </w:tc>
        <w:tc>
          <w:tcPr>
            <w:tcW w:w="246" w:type="pct"/>
            <w:tcBorders>
              <w:top w:val="single" w:color="DDDDDD" w:sz="4" w:space="0"/>
              <w:left w:val="single" w:color="DDDDDD" w:sz="4" w:space="0"/>
              <w:bottom w:val="single" w:color="DDDDDD" w:sz="4" w:space="0"/>
              <w:right w:val="single" w:color="DDDDDD" w:sz="4" w:space="0"/>
            </w:tcBorders>
            <w:shd w:val="clear" w:color="auto" w:fill="FFFFFF"/>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8</w:t>
            </w:r>
          </w:p>
        </w:tc>
        <w:tc>
          <w:tcPr>
            <w:tcW w:w="825" w:type="pct"/>
            <w:tcBorders>
              <w:top w:val="single" w:color="DDDDDD" w:sz="4" w:space="0"/>
              <w:left w:val="single" w:color="DDDDDD" w:sz="4" w:space="0"/>
              <w:bottom w:val="single" w:color="DDDDDD" w:sz="4" w:space="0"/>
              <w:right w:val="single" w:color="4684D3" w:sz="4" w:space="0"/>
            </w:tcBorders>
            <w:shd w:val="clear" w:color="auto" w:fill="FFFFFF"/>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项目管理制度健全完善，执行有效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0" w:hRule="atLeast"/>
          <w:jc w:val="center"/>
        </w:trPr>
        <w:tc>
          <w:tcPr>
            <w:tcW w:w="302" w:type="pct"/>
            <w:vMerge w:val="restart"/>
            <w:tcBorders>
              <w:top w:val="single" w:color="DDDDDD" w:sz="4" w:space="0"/>
              <w:left w:val="single" w:color="4684D3" w:sz="4" w:space="0"/>
              <w:bottom w:val="single" w:color="DDDDDD" w:sz="4" w:space="0"/>
              <w:right w:val="single" w:color="DDDDDD" w:sz="4" w:space="0"/>
            </w:tcBorders>
            <w:shd w:val="clear" w:color="auto" w:fill="FFFFFF"/>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b/>
                <w:bCs/>
                <w:i w:val="0"/>
                <w:iCs w:val="0"/>
                <w:color w:val="000000"/>
                <w:sz w:val="21"/>
                <w:szCs w:val="21"/>
                <w:u w:val="none"/>
              </w:rPr>
            </w:pPr>
            <w:r>
              <w:rPr>
                <w:rFonts w:hint="eastAsia" w:ascii="宋体" w:hAnsi="宋体" w:eastAsia="宋体" w:cs="宋体"/>
                <w:b/>
                <w:bCs/>
                <w:i w:val="0"/>
                <w:iCs w:val="0"/>
                <w:color w:val="000000"/>
                <w:kern w:val="0"/>
                <w:sz w:val="21"/>
                <w:szCs w:val="21"/>
                <w:u w:val="none"/>
                <w:lang w:val="en-US" w:eastAsia="zh-CN" w:bidi="ar"/>
              </w:rPr>
              <w:t>40%</w:t>
            </w:r>
          </w:p>
        </w:tc>
        <w:tc>
          <w:tcPr>
            <w:tcW w:w="262" w:type="pct"/>
            <w:vMerge w:val="restart"/>
            <w:tcBorders>
              <w:top w:val="single" w:color="DDDDDD" w:sz="4" w:space="0"/>
              <w:left w:val="single" w:color="DDDDDD" w:sz="4" w:space="0"/>
              <w:bottom w:val="single" w:color="DDDDDD" w:sz="4" w:space="0"/>
              <w:right w:val="single" w:color="DDDDDD" w:sz="4" w:space="0"/>
            </w:tcBorders>
            <w:shd w:val="clear" w:color="auto" w:fill="FFFFFF"/>
            <w:noWrap w:val="0"/>
            <w:textDirection w:val="tbRlV"/>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b/>
                <w:bCs/>
                <w:i w:val="0"/>
                <w:iCs w:val="0"/>
                <w:color w:val="000000"/>
                <w:sz w:val="21"/>
                <w:szCs w:val="21"/>
                <w:u w:val="none"/>
              </w:rPr>
            </w:pPr>
            <w:r>
              <w:rPr>
                <w:rFonts w:hint="eastAsia" w:ascii="宋体" w:hAnsi="宋体" w:eastAsia="宋体" w:cs="宋体"/>
                <w:b/>
                <w:bCs/>
                <w:i w:val="0"/>
                <w:iCs w:val="0"/>
                <w:color w:val="000000"/>
                <w:kern w:val="0"/>
                <w:sz w:val="21"/>
                <w:szCs w:val="21"/>
                <w:u w:val="none"/>
                <w:lang w:val="en-US" w:eastAsia="zh-CN" w:bidi="ar"/>
              </w:rPr>
              <w:t>项目绩效</w:t>
            </w:r>
          </w:p>
        </w:tc>
        <w:tc>
          <w:tcPr>
            <w:tcW w:w="257" w:type="pct"/>
            <w:tcBorders>
              <w:top w:val="single" w:color="DDDDDD" w:sz="4" w:space="0"/>
              <w:left w:val="single" w:color="DDDDDD" w:sz="4" w:space="0"/>
              <w:bottom w:val="single" w:color="DDDDDD" w:sz="4" w:space="0"/>
              <w:right w:val="single" w:color="DDDDDD" w:sz="4" w:space="0"/>
            </w:tcBorders>
            <w:shd w:val="clear" w:color="auto" w:fill="FFFFFF"/>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完成数量</w:t>
            </w:r>
          </w:p>
        </w:tc>
        <w:tc>
          <w:tcPr>
            <w:tcW w:w="413" w:type="pct"/>
            <w:tcBorders>
              <w:top w:val="single" w:color="DDDDDD" w:sz="4" w:space="0"/>
              <w:left w:val="single" w:color="DDDDDD" w:sz="4" w:space="0"/>
              <w:bottom w:val="single" w:color="DDDDDD" w:sz="4" w:space="0"/>
              <w:right w:val="single" w:color="DDDDDD" w:sz="4" w:space="0"/>
            </w:tcBorders>
            <w:shd w:val="clear" w:color="auto" w:fill="FFFFFF"/>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完成《华蓥烽火》出版前期工作1项</w:t>
            </w:r>
          </w:p>
        </w:tc>
        <w:tc>
          <w:tcPr>
            <w:tcW w:w="418" w:type="pct"/>
            <w:tcBorders>
              <w:top w:val="single" w:color="DDDDDD" w:sz="4" w:space="0"/>
              <w:left w:val="single" w:color="DDDDDD" w:sz="4" w:space="0"/>
              <w:bottom w:val="single" w:color="DDDDDD" w:sz="4" w:space="0"/>
              <w:right w:val="single" w:color="DDDDDD" w:sz="4" w:space="0"/>
            </w:tcBorders>
            <w:shd w:val="clear" w:color="auto" w:fill="FFFFFF"/>
            <w:noWrap w:val="0"/>
            <w:vAlign w:val="center"/>
          </w:tcPr>
          <w:p>
            <w:pPr>
              <w:keepNext w:val="0"/>
              <w:keepLines w:val="0"/>
              <w:pageBreakBefore w:val="0"/>
              <w:widowControl/>
              <w:kinsoku/>
              <w:wordWrap/>
              <w:overflowPunct/>
              <w:topLinePunct w:val="0"/>
              <w:autoSpaceDE/>
              <w:autoSpaceDN/>
              <w:bidi w:val="0"/>
              <w:adjustRightInd/>
              <w:snapToGrid/>
              <w:spacing w:line="240" w:lineRule="exact"/>
              <w:jc w:val="center"/>
              <w:rPr>
                <w:rFonts w:hint="eastAsia" w:ascii="宋体" w:hAnsi="宋体" w:eastAsia="宋体" w:cs="宋体"/>
                <w:i w:val="0"/>
                <w:iCs w:val="0"/>
                <w:color w:val="000000"/>
                <w:sz w:val="21"/>
                <w:szCs w:val="21"/>
                <w:u w:val="none"/>
              </w:rPr>
            </w:pPr>
          </w:p>
        </w:tc>
        <w:tc>
          <w:tcPr>
            <w:tcW w:w="250" w:type="pct"/>
            <w:tcBorders>
              <w:top w:val="single" w:color="DDDDDD" w:sz="4" w:space="0"/>
              <w:left w:val="single" w:color="DDDDDD" w:sz="4" w:space="0"/>
              <w:bottom w:val="single" w:color="DDDDDD" w:sz="4" w:space="0"/>
              <w:right w:val="single" w:color="DDDDDD" w:sz="4" w:space="0"/>
            </w:tcBorders>
            <w:shd w:val="clear" w:color="auto" w:fill="FFFFFF"/>
            <w:noWrap w:val="0"/>
            <w:vAlign w:val="center"/>
          </w:tcPr>
          <w:p>
            <w:pPr>
              <w:keepNext w:val="0"/>
              <w:keepLines w:val="0"/>
              <w:pageBreakBefore w:val="0"/>
              <w:widowControl/>
              <w:kinsoku/>
              <w:wordWrap/>
              <w:overflowPunct/>
              <w:topLinePunct w:val="0"/>
              <w:autoSpaceDE/>
              <w:autoSpaceDN/>
              <w:bidi w:val="0"/>
              <w:adjustRightInd/>
              <w:snapToGrid/>
              <w:spacing w:line="240" w:lineRule="exact"/>
              <w:jc w:val="center"/>
              <w:rPr>
                <w:rFonts w:hint="eastAsia" w:ascii="宋体" w:hAnsi="宋体" w:eastAsia="宋体" w:cs="宋体"/>
                <w:i w:val="0"/>
                <w:iCs w:val="0"/>
                <w:color w:val="000000"/>
                <w:sz w:val="21"/>
                <w:szCs w:val="21"/>
                <w:u w:val="none"/>
              </w:rPr>
            </w:pPr>
          </w:p>
        </w:tc>
        <w:tc>
          <w:tcPr>
            <w:tcW w:w="1450" w:type="pct"/>
            <w:gridSpan w:val="5"/>
            <w:tcBorders>
              <w:top w:val="single" w:color="DDDDDD" w:sz="4" w:space="0"/>
              <w:left w:val="single" w:color="DDDDDD" w:sz="4" w:space="0"/>
              <w:bottom w:val="single" w:color="DDDDDD" w:sz="4" w:space="0"/>
              <w:right w:val="single" w:color="DDDDDD" w:sz="4" w:space="0"/>
            </w:tcBorders>
            <w:shd w:val="clear" w:color="auto" w:fill="FFFFFF"/>
            <w:noWrap w:val="0"/>
            <w:vAlign w:val="center"/>
          </w:tcPr>
          <w:p>
            <w:pPr>
              <w:keepNext w:val="0"/>
              <w:keepLines w:val="0"/>
              <w:pageBreakBefore w:val="0"/>
              <w:widowControl/>
              <w:kinsoku/>
              <w:wordWrap/>
              <w:overflowPunct/>
              <w:topLinePunct w:val="0"/>
              <w:autoSpaceDE/>
              <w:autoSpaceDN/>
              <w:bidi w:val="0"/>
              <w:adjustRightInd/>
              <w:snapToGrid/>
              <w:spacing w:line="240" w:lineRule="exact"/>
              <w:jc w:val="center"/>
              <w:rPr>
                <w:rFonts w:hint="eastAsia" w:ascii="宋体" w:hAnsi="宋体" w:eastAsia="宋体" w:cs="宋体"/>
                <w:i w:val="0"/>
                <w:iCs w:val="0"/>
                <w:color w:val="000000"/>
                <w:sz w:val="21"/>
                <w:szCs w:val="21"/>
                <w:u w:val="none"/>
              </w:rPr>
            </w:pPr>
          </w:p>
        </w:tc>
        <w:tc>
          <w:tcPr>
            <w:tcW w:w="573" w:type="pct"/>
            <w:tcBorders>
              <w:top w:val="single" w:color="DDDDDD" w:sz="4" w:space="0"/>
              <w:left w:val="single" w:color="DDDDDD" w:sz="4" w:space="0"/>
              <w:bottom w:val="single" w:color="DDDDDD" w:sz="4" w:space="0"/>
              <w:right w:val="single" w:color="DDDDDD" w:sz="4" w:space="0"/>
            </w:tcBorders>
            <w:shd w:val="clear" w:color="auto" w:fill="FFFFFF"/>
            <w:noWrap w:val="0"/>
            <w:vAlign w:val="center"/>
          </w:tcPr>
          <w:p>
            <w:pPr>
              <w:keepNext w:val="0"/>
              <w:keepLines w:val="0"/>
              <w:pageBreakBefore w:val="0"/>
              <w:widowControl/>
              <w:kinsoku/>
              <w:wordWrap/>
              <w:overflowPunct/>
              <w:topLinePunct w:val="0"/>
              <w:autoSpaceDE/>
              <w:autoSpaceDN/>
              <w:bidi w:val="0"/>
              <w:adjustRightInd/>
              <w:snapToGrid/>
              <w:spacing w:line="240" w:lineRule="exact"/>
              <w:rPr>
                <w:rFonts w:hint="eastAsia" w:ascii="宋体" w:hAnsi="宋体" w:eastAsia="宋体" w:cs="宋体"/>
                <w:i w:val="0"/>
                <w:iCs w:val="0"/>
                <w:color w:val="000000"/>
                <w:sz w:val="21"/>
                <w:szCs w:val="21"/>
                <w:u w:val="none"/>
              </w:rPr>
            </w:pPr>
          </w:p>
        </w:tc>
        <w:tc>
          <w:tcPr>
            <w:tcW w:w="246" w:type="pct"/>
            <w:tcBorders>
              <w:top w:val="single" w:color="DDDDDD" w:sz="4" w:space="0"/>
              <w:left w:val="single" w:color="DDDDDD" w:sz="4" w:space="0"/>
              <w:bottom w:val="single" w:color="DDDDDD" w:sz="4" w:space="0"/>
              <w:right w:val="single" w:color="DDDDDD" w:sz="4" w:space="0"/>
            </w:tcBorders>
            <w:shd w:val="clear" w:color="auto" w:fill="FFFFFF"/>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w:t>
            </w:r>
          </w:p>
        </w:tc>
        <w:tc>
          <w:tcPr>
            <w:tcW w:w="825" w:type="pct"/>
            <w:tcBorders>
              <w:top w:val="single" w:color="DDDDDD" w:sz="4" w:space="0"/>
              <w:left w:val="single" w:color="DDDDDD" w:sz="4" w:space="0"/>
              <w:bottom w:val="single" w:color="DDDDDD" w:sz="4" w:space="0"/>
              <w:right w:val="single" w:color="DDDDDD" w:sz="4" w:space="0"/>
            </w:tcBorders>
            <w:shd w:val="clear" w:color="auto" w:fill="FFFFFF"/>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完成《华蓥烽火》出版前期工作1项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0" w:hRule="atLeast"/>
          <w:jc w:val="center"/>
        </w:trPr>
        <w:tc>
          <w:tcPr>
            <w:tcW w:w="302" w:type="pct"/>
            <w:vMerge w:val="continue"/>
            <w:tcBorders>
              <w:top w:val="single" w:color="DDDDDD" w:sz="4" w:space="0"/>
              <w:left w:val="single" w:color="4684D3" w:sz="4" w:space="0"/>
              <w:bottom w:val="single" w:color="DDDDDD" w:sz="4" w:space="0"/>
              <w:right w:val="single" w:color="DDDDDD" w:sz="4" w:space="0"/>
            </w:tcBorders>
            <w:shd w:val="clear" w:color="auto" w:fill="FFFFFF"/>
            <w:noWrap w:val="0"/>
            <w:vAlign w:val="center"/>
          </w:tcPr>
          <w:p>
            <w:pPr>
              <w:keepNext w:val="0"/>
              <w:keepLines w:val="0"/>
              <w:pageBreakBefore w:val="0"/>
              <w:widowControl/>
              <w:kinsoku/>
              <w:wordWrap/>
              <w:overflowPunct/>
              <w:topLinePunct w:val="0"/>
              <w:autoSpaceDE/>
              <w:autoSpaceDN/>
              <w:bidi w:val="0"/>
              <w:adjustRightInd/>
              <w:snapToGrid/>
              <w:spacing w:line="240" w:lineRule="exact"/>
              <w:jc w:val="center"/>
              <w:rPr>
                <w:rFonts w:hint="eastAsia" w:ascii="宋体" w:hAnsi="宋体" w:eastAsia="宋体" w:cs="宋体"/>
                <w:b/>
                <w:bCs/>
                <w:i w:val="0"/>
                <w:iCs w:val="0"/>
                <w:color w:val="000000"/>
                <w:sz w:val="21"/>
                <w:szCs w:val="21"/>
                <w:u w:val="none"/>
              </w:rPr>
            </w:pPr>
          </w:p>
        </w:tc>
        <w:tc>
          <w:tcPr>
            <w:tcW w:w="262" w:type="pct"/>
            <w:vMerge w:val="continue"/>
            <w:tcBorders>
              <w:top w:val="single" w:color="DDDDDD" w:sz="4" w:space="0"/>
              <w:left w:val="single" w:color="DDDDDD" w:sz="4" w:space="0"/>
              <w:bottom w:val="single" w:color="DDDDDD" w:sz="4" w:space="0"/>
              <w:right w:val="single" w:color="DDDDDD" w:sz="4" w:space="0"/>
            </w:tcBorders>
            <w:shd w:val="clear" w:color="auto" w:fill="FFFFFF"/>
            <w:noWrap w:val="0"/>
            <w:textDirection w:val="tbRlV"/>
            <w:vAlign w:val="center"/>
          </w:tcPr>
          <w:p>
            <w:pPr>
              <w:keepNext w:val="0"/>
              <w:keepLines w:val="0"/>
              <w:pageBreakBefore w:val="0"/>
              <w:widowControl/>
              <w:kinsoku/>
              <w:wordWrap/>
              <w:overflowPunct/>
              <w:topLinePunct w:val="0"/>
              <w:autoSpaceDE/>
              <w:autoSpaceDN/>
              <w:bidi w:val="0"/>
              <w:adjustRightInd/>
              <w:snapToGrid/>
              <w:spacing w:line="240" w:lineRule="exact"/>
              <w:jc w:val="center"/>
              <w:rPr>
                <w:rFonts w:hint="eastAsia" w:ascii="宋体" w:hAnsi="宋体" w:eastAsia="宋体" w:cs="宋体"/>
                <w:b/>
                <w:bCs/>
                <w:i w:val="0"/>
                <w:iCs w:val="0"/>
                <w:color w:val="000000"/>
                <w:sz w:val="21"/>
                <w:szCs w:val="21"/>
                <w:u w:val="none"/>
              </w:rPr>
            </w:pPr>
          </w:p>
        </w:tc>
        <w:tc>
          <w:tcPr>
            <w:tcW w:w="257" w:type="pct"/>
            <w:tcBorders>
              <w:top w:val="single" w:color="DDDDDD" w:sz="0" w:space="0"/>
              <w:left w:val="single" w:color="DDDDDD" w:sz="4" w:space="0"/>
              <w:bottom w:val="single" w:color="DDDDDD" w:sz="4" w:space="0"/>
              <w:right w:val="single" w:color="DDDDDD" w:sz="4" w:space="0"/>
            </w:tcBorders>
            <w:shd w:val="clear" w:color="auto" w:fill="FFFFFF"/>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完成数量</w:t>
            </w:r>
          </w:p>
        </w:tc>
        <w:tc>
          <w:tcPr>
            <w:tcW w:w="413" w:type="pct"/>
            <w:tcBorders>
              <w:top w:val="single" w:color="DDDDDD" w:sz="4" w:space="0"/>
              <w:left w:val="single" w:color="DDDDDD" w:sz="4" w:space="0"/>
              <w:bottom w:val="single" w:color="DDDDDD" w:sz="4" w:space="0"/>
              <w:right w:val="single" w:color="DDDDDD" w:sz="4" w:space="0"/>
            </w:tcBorders>
            <w:shd w:val="clear" w:color="auto" w:fill="FFFFFF"/>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出版书籍</w:t>
            </w:r>
          </w:p>
        </w:tc>
        <w:tc>
          <w:tcPr>
            <w:tcW w:w="418" w:type="pct"/>
            <w:tcBorders>
              <w:top w:val="single" w:color="DDDDDD" w:sz="4" w:space="0"/>
              <w:left w:val="single" w:color="DDDDDD" w:sz="4" w:space="0"/>
              <w:bottom w:val="single" w:color="DDDDDD" w:sz="4" w:space="0"/>
              <w:right w:val="single" w:color="DDDDDD" w:sz="4" w:space="0"/>
            </w:tcBorders>
            <w:shd w:val="clear" w:color="auto" w:fill="FFFFFF"/>
            <w:noWrap w:val="0"/>
            <w:vAlign w:val="center"/>
          </w:tcPr>
          <w:p>
            <w:pPr>
              <w:keepNext w:val="0"/>
              <w:keepLines w:val="0"/>
              <w:pageBreakBefore w:val="0"/>
              <w:widowControl/>
              <w:kinsoku/>
              <w:wordWrap/>
              <w:overflowPunct/>
              <w:topLinePunct w:val="0"/>
              <w:autoSpaceDE/>
              <w:autoSpaceDN/>
              <w:bidi w:val="0"/>
              <w:adjustRightInd/>
              <w:snapToGrid/>
              <w:spacing w:line="240" w:lineRule="exact"/>
              <w:rPr>
                <w:rFonts w:hint="eastAsia" w:ascii="宋体" w:hAnsi="宋体" w:eastAsia="宋体" w:cs="宋体"/>
                <w:i w:val="0"/>
                <w:iCs w:val="0"/>
                <w:color w:val="000000"/>
                <w:sz w:val="21"/>
                <w:szCs w:val="21"/>
                <w:u w:val="none"/>
              </w:rPr>
            </w:pPr>
          </w:p>
        </w:tc>
        <w:tc>
          <w:tcPr>
            <w:tcW w:w="250" w:type="pct"/>
            <w:tcBorders>
              <w:top w:val="single" w:color="DDDDDD" w:sz="4" w:space="0"/>
              <w:left w:val="single" w:color="DDDDDD" w:sz="4" w:space="0"/>
              <w:bottom w:val="single" w:color="DDDDDD" w:sz="4" w:space="0"/>
              <w:right w:val="single" w:color="DDDDDD" w:sz="4" w:space="0"/>
            </w:tcBorders>
            <w:shd w:val="clear" w:color="auto" w:fill="FFFFFF"/>
            <w:noWrap w:val="0"/>
            <w:vAlign w:val="center"/>
          </w:tcPr>
          <w:p>
            <w:pPr>
              <w:keepNext w:val="0"/>
              <w:keepLines w:val="0"/>
              <w:pageBreakBefore w:val="0"/>
              <w:widowControl/>
              <w:kinsoku/>
              <w:wordWrap/>
              <w:overflowPunct/>
              <w:topLinePunct w:val="0"/>
              <w:autoSpaceDE/>
              <w:autoSpaceDN/>
              <w:bidi w:val="0"/>
              <w:adjustRightInd/>
              <w:snapToGrid/>
              <w:spacing w:line="240" w:lineRule="exact"/>
              <w:jc w:val="center"/>
              <w:rPr>
                <w:rFonts w:hint="eastAsia" w:ascii="宋体" w:hAnsi="宋体" w:eastAsia="宋体" w:cs="宋体"/>
                <w:i w:val="0"/>
                <w:iCs w:val="0"/>
                <w:color w:val="000000"/>
                <w:sz w:val="21"/>
                <w:szCs w:val="21"/>
                <w:u w:val="none"/>
              </w:rPr>
            </w:pPr>
          </w:p>
        </w:tc>
        <w:tc>
          <w:tcPr>
            <w:tcW w:w="256" w:type="pct"/>
            <w:tcBorders>
              <w:top w:val="single" w:color="DDDDDD" w:sz="4" w:space="0"/>
              <w:left w:val="single" w:color="DDDDDD" w:sz="4" w:space="0"/>
              <w:bottom w:val="single" w:color="DDDDDD" w:sz="4" w:space="0"/>
              <w:right w:val="single" w:color="DDDDDD" w:sz="4" w:space="0"/>
            </w:tcBorders>
            <w:shd w:val="clear" w:color="auto" w:fill="FFFFFF"/>
            <w:noWrap w:val="0"/>
            <w:vAlign w:val="center"/>
          </w:tcPr>
          <w:p>
            <w:pPr>
              <w:keepNext w:val="0"/>
              <w:keepLines w:val="0"/>
              <w:pageBreakBefore w:val="0"/>
              <w:widowControl/>
              <w:kinsoku/>
              <w:wordWrap/>
              <w:overflowPunct/>
              <w:topLinePunct w:val="0"/>
              <w:autoSpaceDE/>
              <w:autoSpaceDN/>
              <w:bidi w:val="0"/>
              <w:adjustRightInd/>
              <w:snapToGrid/>
              <w:spacing w:line="240" w:lineRule="exact"/>
              <w:jc w:val="center"/>
              <w:rPr>
                <w:rFonts w:hint="eastAsia" w:ascii="宋体" w:hAnsi="宋体" w:eastAsia="宋体" w:cs="宋体"/>
                <w:i w:val="0"/>
                <w:iCs w:val="0"/>
                <w:color w:val="000000"/>
                <w:sz w:val="21"/>
                <w:szCs w:val="21"/>
                <w:u w:val="none"/>
              </w:rPr>
            </w:pPr>
          </w:p>
        </w:tc>
        <w:tc>
          <w:tcPr>
            <w:tcW w:w="1194" w:type="pct"/>
            <w:gridSpan w:val="4"/>
            <w:tcBorders>
              <w:top w:val="single" w:color="DDDDDD" w:sz="4" w:space="0"/>
              <w:left w:val="single" w:color="DDDDDD" w:sz="4" w:space="0"/>
              <w:bottom w:val="single" w:color="DDDDDD" w:sz="4" w:space="0"/>
              <w:right w:val="single" w:color="DDDDDD" w:sz="4" w:space="0"/>
            </w:tcBorders>
            <w:shd w:val="clear" w:color="auto" w:fill="FFFFFF"/>
            <w:noWrap w:val="0"/>
            <w:vAlign w:val="center"/>
          </w:tcPr>
          <w:p>
            <w:pPr>
              <w:keepNext w:val="0"/>
              <w:keepLines w:val="0"/>
              <w:pageBreakBefore w:val="0"/>
              <w:widowControl/>
              <w:kinsoku/>
              <w:wordWrap/>
              <w:overflowPunct/>
              <w:topLinePunct w:val="0"/>
              <w:autoSpaceDE/>
              <w:autoSpaceDN/>
              <w:bidi w:val="0"/>
              <w:adjustRightInd/>
              <w:snapToGrid/>
              <w:spacing w:line="240" w:lineRule="exact"/>
              <w:jc w:val="center"/>
              <w:rPr>
                <w:rFonts w:hint="eastAsia" w:ascii="宋体" w:hAnsi="宋体" w:eastAsia="宋体" w:cs="宋体"/>
                <w:i w:val="0"/>
                <w:iCs w:val="0"/>
                <w:color w:val="000000"/>
                <w:sz w:val="21"/>
                <w:szCs w:val="21"/>
                <w:u w:val="none"/>
              </w:rPr>
            </w:pPr>
          </w:p>
        </w:tc>
        <w:tc>
          <w:tcPr>
            <w:tcW w:w="573" w:type="pct"/>
            <w:tcBorders>
              <w:top w:val="single" w:color="DDDDDD" w:sz="4" w:space="0"/>
              <w:left w:val="single" w:color="DDDDDD" w:sz="4" w:space="0"/>
              <w:bottom w:val="single" w:color="DDDDDD" w:sz="4" w:space="0"/>
              <w:right w:val="single" w:color="DDDDDD" w:sz="4" w:space="0"/>
            </w:tcBorders>
            <w:shd w:val="clear" w:color="auto" w:fill="FFFFFF"/>
            <w:noWrap w:val="0"/>
            <w:vAlign w:val="center"/>
          </w:tcPr>
          <w:p>
            <w:pPr>
              <w:keepNext w:val="0"/>
              <w:keepLines w:val="0"/>
              <w:pageBreakBefore w:val="0"/>
              <w:widowControl/>
              <w:kinsoku/>
              <w:wordWrap/>
              <w:overflowPunct/>
              <w:topLinePunct w:val="0"/>
              <w:autoSpaceDE/>
              <w:autoSpaceDN/>
              <w:bidi w:val="0"/>
              <w:adjustRightInd/>
              <w:snapToGrid/>
              <w:spacing w:line="240" w:lineRule="exact"/>
              <w:jc w:val="left"/>
              <w:rPr>
                <w:rFonts w:hint="eastAsia" w:ascii="宋体" w:hAnsi="宋体" w:eastAsia="宋体" w:cs="宋体"/>
                <w:i w:val="0"/>
                <w:iCs w:val="0"/>
                <w:color w:val="000000"/>
                <w:sz w:val="21"/>
                <w:szCs w:val="21"/>
                <w:u w:val="none"/>
              </w:rPr>
            </w:pPr>
          </w:p>
        </w:tc>
        <w:tc>
          <w:tcPr>
            <w:tcW w:w="246" w:type="pct"/>
            <w:tcBorders>
              <w:top w:val="single" w:color="DDDDDD" w:sz="4" w:space="0"/>
              <w:left w:val="single" w:color="DDDDDD" w:sz="4" w:space="0"/>
              <w:bottom w:val="single" w:color="DDDDDD" w:sz="4" w:space="0"/>
              <w:right w:val="single" w:color="DDDDDD" w:sz="4" w:space="0"/>
            </w:tcBorders>
            <w:shd w:val="clear" w:color="auto" w:fill="FFFFFF"/>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0</w:t>
            </w:r>
          </w:p>
        </w:tc>
        <w:tc>
          <w:tcPr>
            <w:tcW w:w="825" w:type="pct"/>
            <w:tcBorders>
              <w:top w:val="single" w:color="DDDDDD" w:sz="4" w:space="0"/>
              <w:left w:val="single" w:color="DDDDDD" w:sz="4" w:space="0"/>
              <w:bottom w:val="single" w:color="DDDDDD" w:sz="4" w:space="0"/>
              <w:right w:val="single" w:color="DDDDDD" w:sz="4" w:space="0"/>
            </w:tcBorders>
            <w:shd w:val="clear" w:color="auto" w:fill="FFFFFF"/>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人民的儿子—邓小平故事100个》出版工作，因涉及世纪伟人邓小平，出版程序审核严格，四川人民出版社编审审核了一次，按照修改意见修改后，编审还需要进行第二次审核，难度提升，本年度难以完成，年底调减了此项目</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0" w:hRule="atLeast"/>
          <w:jc w:val="center"/>
        </w:trPr>
        <w:tc>
          <w:tcPr>
            <w:tcW w:w="302" w:type="pct"/>
            <w:vMerge w:val="continue"/>
            <w:tcBorders>
              <w:top w:val="single" w:color="DDDDDD" w:sz="4" w:space="0"/>
              <w:left w:val="single" w:color="4684D3" w:sz="4" w:space="0"/>
              <w:bottom w:val="single" w:color="DDDDDD" w:sz="4" w:space="0"/>
              <w:right w:val="single" w:color="DDDDDD" w:sz="4" w:space="0"/>
            </w:tcBorders>
            <w:shd w:val="clear" w:color="auto" w:fill="FFFFFF"/>
            <w:noWrap w:val="0"/>
            <w:vAlign w:val="center"/>
          </w:tcPr>
          <w:p>
            <w:pPr>
              <w:keepNext w:val="0"/>
              <w:keepLines w:val="0"/>
              <w:pageBreakBefore w:val="0"/>
              <w:widowControl/>
              <w:kinsoku/>
              <w:wordWrap/>
              <w:overflowPunct/>
              <w:topLinePunct w:val="0"/>
              <w:autoSpaceDE/>
              <w:autoSpaceDN/>
              <w:bidi w:val="0"/>
              <w:adjustRightInd/>
              <w:snapToGrid/>
              <w:spacing w:line="240" w:lineRule="exact"/>
              <w:jc w:val="center"/>
              <w:rPr>
                <w:rFonts w:hint="eastAsia" w:ascii="宋体" w:hAnsi="宋体" w:eastAsia="宋体" w:cs="宋体"/>
                <w:b/>
                <w:bCs/>
                <w:i w:val="0"/>
                <w:iCs w:val="0"/>
                <w:color w:val="000000"/>
                <w:sz w:val="21"/>
                <w:szCs w:val="21"/>
                <w:u w:val="none"/>
              </w:rPr>
            </w:pPr>
          </w:p>
        </w:tc>
        <w:tc>
          <w:tcPr>
            <w:tcW w:w="262" w:type="pct"/>
            <w:vMerge w:val="continue"/>
            <w:tcBorders>
              <w:top w:val="single" w:color="DDDDDD" w:sz="4" w:space="0"/>
              <w:left w:val="single" w:color="DDDDDD" w:sz="4" w:space="0"/>
              <w:bottom w:val="single" w:color="DDDDDD" w:sz="4" w:space="0"/>
              <w:right w:val="single" w:color="DDDDDD" w:sz="4" w:space="0"/>
            </w:tcBorders>
            <w:shd w:val="clear" w:color="auto" w:fill="FFFFFF"/>
            <w:noWrap w:val="0"/>
            <w:textDirection w:val="tbRlV"/>
            <w:vAlign w:val="center"/>
          </w:tcPr>
          <w:p>
            <w:pPr>
              <w:keepNext w:val="0"/>
              <w:keepLines w:val="0"/>
              <w:pageBreakBefore w:val="0"/>
              <w:widowControl/>
              <w:kinsoku/>
              <w:wordWrap/>
              <w:overflowPunct/>
              <w:topLinePunct w:val="0"/>
              <w:autoSpaceDE/>
              <w:autoSpaceDN/>
              <w:bidi w:val="0"/>
              <w:adjustRightInd/>
              <w:snapToGrid/>
              <w:spacing w:line="240" w:lineRule="exact"/>
              <w:jc w:val="center"/>
              <w:rPr>
                <w:rFonts w:hint="eastAsia" w:ascii="宋体" w:hAnsi="宋体" w:eastAsia="宋体" w:cs="宋体"/>
                <w:b/>
                <w:bCs/>
                <w:i w:val="0"/>
                <w:iCs w:val="0"/>
                <w:color w:val="000000"/>
                <w:sz w:val="21"/>
                <w:szCs w:val="21"/>
                <w:u w:val="none"/>
              </w:rPr>
            </w:pPr>
          </w:p>
        </w:tc>
        <w:tc>
          <w:tcPr>
            <w:tcW w:w="257" w:type="pct"/>
            <w:tcBorders>
              <w:top w:val="single" w:color="DDDDDD" w:sz="4" w:space="0"/>
              <w:left w:val="single" w:color="DDDDDD" w:sz="4" w:space="0"/>
              <w:bottom w:val="single" w:color="DDDDDD" w:sz="4" w:space="0"/>
              <w:right w:val="single" w:color="DDDDDD" w:sz="4" w:space="0"/>
            </w:tcBorders>
            <w:shd w:val="clear" w:color="auto" w:fill="FFFFFF"/>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完成质量</w:t>
            </w:r>
          </w:p>
        </w:tc>
        <w:tc>
          <w:tcPr>
            <w:tcW w:w="413" w:type="pct"/>
            <w:tcBorders>
              <w:top w:val="single" w:color="DDDDDD" w:sz="4" w:space="0"/>
              <w:left w:val="single" w:color="DDDDDD" w:sz="4" w:space="0"/>
              <w:bottom w:val="single" w:color="DDDDDD" w:sz="4" w:space="0"/>
              <w:right w:val="single" w:color="DDDDDD" w:sz="4" w:space="0"/>
            </w:tcBorders>
            <w:shd w:val="clear" w:color="auto" w:fill="FFFFFF"/>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出版按合同约定执行完成通知</w:t>
            </w:r>
          </w:p>
        </w:tc>
        <w:tc>
          <w:tcPr>
            <w:tcW w:w="418" w:type="pct"/>
            <w:tcBorders>
              <w:top w:val="single" w:color="DDDDDD" w:sz="4" w:space="0"/>
              <w:left w:val="single" w:color="DDDDDD" w:sz="4" w:space="0"/>
              <w:bottom w:val="single" w:color="DDDDDD" w:sz="4" w:space="0"/>
              <w:right w:val="single" w:color="DDDDDD" w:sz="4" w:space="0"/>
            </w:tcBorders>
            <w:shd w:val="clear" w:color="auto" w:fill="FFFFFF"/>
            <w:noWrap w:val="0"/>
            <w:vAlign w:val="center"/>
          </w:tcPr>
          <w:p>
            <w:pPr>
              <w:keepNext w:val="0"/>
              <w:keepLines w:val="0"/>
              <w:pageBreakBefore w:val="0"/>
              <w:widowControl/>
              <w:kinsoku/>
              <w:wordWrap/>
              <w:overflowPunct/>
              <w:topLinePunct w:val="0"/>
              <w:autoSpaceDE/>
              <w:autoSpaceDN/>
              <w:bidi w:val="0"/>
              <w:adjustRightInd/>
              <w:snapToGrid/>
              <w:spacing w:line="240" w:lineRule="exact"/>
              <w:jc w:val="center"/>
              <w:rPr>
                <w:rFonts w:hint="eastAsia" w:ascii="宋体" w:hAnsi="宋体" w:eastAsia="宋体" w:cs="宋体"/>
                <w:i w:val="0"/>
                <w:iCs w:val="0"/>
                <w:color w:val="000000"/>
                <w:sz w:val="21"/>
                <w:szCs w:val="21"/>
                <w:u w:val="none"/>
              </w:rPr>
            </w:pPr>
          </w:p>
        </w:tc>
        <w:tc>
          <w:tcPr>
            <w:tcW w:w="250" w:type="pct"/>
            <w:tcBorders>
              <w:top w:val="single" w:color="DDDDDD" w:sz="4" w:space="0"/>
              <w:left w:val="single" w:color="DDDDDD" w:sz="4" w:space="0"/>
              <w:bottom w:val="single" w:color="DDDDDD" w:sz="4" w:space="0"/>
              <w:right w:val="single" w:color="DDDDDD" w:sz="4" w:space="0"/>
            </w:tcBorders>
            <w:shd w:val="clear" w:color="auto" w:fill="FFFFFF"/>
            <w:noWrap w:val="0"/>
            <w:vAlign w:val="center"/>
          </w:tcPr>
          <w:p>
            <w:pPr>
              <w:keepNext w:val="0"/>
              <w:keepLines w:val="0"/>
              <w:pageBreakBefore w:val="0"/>
              <w:widowControl/>
              <w:kinsoku/>
              <w:wordWrap/>
              <w:overflowPunct/>
              <w:topLinePunct w:val="0"/>
              <w:autoSpaceDE/>
              <w:autoSpaceDN/>
              <w:bidi w:val="0"/>
              <w:adjustRightInd/>
              <w:snapToGrid/>
              <w:spacing w:line="240" w:lineRule="exact"/>
              <w:jc w:val="center"/>
              <w:rPr>
                <w:rFonts w:hint="eastAsia" w:ascii="宋体" w:hAnsi="宋体" w:eastAsia="宋体" w:cs="宋体"/>
                <w:i w:val="0"/>
                <w:iCs w:val="0"/>
                <w:color w:val="000000"/>
                <w:sz w:val="21"/>
                <w:szCs w:val="21"/>
                <w:u w:val="none"/>
              </w:rPr>
            </w:pPr>
          </w:p>
        </w:tc>
        <w:tc>
          <w:tcPr>
            <w:tcW w:w="1450" w:type="pct"/>
            <w:gridSpan w:val="5"/>
            <w:tcBorders>
              <w:top w:val="single" w:color="DDDDDD" w:sz="4" w:space="0"/>
              <w:left w:val="single" w:color="DDDDDD" w:sz="4" w:space="0"/>
              <w:bottom w:val="single" w:color="DDDDDD" w:sz="4" w:space="0"/>
              <w:right w:val="single" w:color="DDDDDD" w:sz="4" w:space="0"/>
            </w:tcBorders>
            <w:shd w:val="clear" w:color="auto" w:fill="FFFFFF"/>
            <w:noWrap w:val="0"/>
            <w:vAlign w:val="center"/>
          </w:tcPr>
          <w:p>
            <w:pPr>
              <w:keepNext w:val="0"/>
              <w:keepLines w:val="0"/>
              <w:pageBreakBefore w:val="0"/>
              <w:widowControl/>
              <w:kinsoku/>
              <w:wordWrap/>
              <w:overflowPunct/>
              <w:topLinePunct w:val="0"/>
              <w:autoSpaceDE/>
              <w:autoSpaceDN/>
              <w:bidi w:val="0"/>
              <w:adjustRightInd/>
              <w:snapToGrid/>
              <w:spacing w:line="240" w:lineRule="exact"/>
              <w:jc w:val="center"/>
              <w:rPr>
                <w:rFonts w:hint="eastAsia" w:ascii="宋体" w:hAnsi="宋体" w:eastAsia="宋体" w:cs="宋体"/>
                <w:i w:val="0"/>
                <w:iCs w:val="0"/>
                <w:color w:val="000000"/>
                <w:sz w:val="21"/>
                <w:szCs w:val="21"/>
                <w:u w:val="none"/>
              </w:rPr>
            </w:pPr>
          </w:p>
        </w:tc>
        <w:tc>
          <w:tcPr>
            <w:tcW w:w="573" w:type="pct"/>
            <w:tcBorders>
              <w:top w:val="single" w:color="DDDDDD" w:sz="4" w:space="0"/>
              <w:left w:val="single" w:color="DDDDDD" w:sz="4" w:space="0"/>
              <w:bottom w:val="single" w:color="DDDDDD" w:sz="4" w:space="0"/>
              <w:right w:val="single" w:color="DDDDDD" w:sz="4" w:space="0"/>
            </w:tcBorders>
            <w:shd w:val="clear" w:color="auto" w:fill="FFFFFF"/>
            <w:noWrap w:val="0"/>
            <w:vAlign w:val="center"/>
          </w:tcPr>
          <w:p>
            <w:pPr>
              <w:keepNext w:val="0"/>
              <w:keepLines w:val="0"/>
              <w:pageBreakBefore w:val="0"/>
              <w:widowControl/>
              <w:kinsoku/>
              <w:wordWrap/>
              <w:overflowPunct/>
              <w:topLinePunct w:val="0"/>
              <w:autoSpaceDE/>
              <w:autoSpaceDN/>
              <w:bidi w:val="0"/>
              <w:adjustRightInd/>
              <w:snapToGrid/>
              <w:spacing w:line="240" w:lineRule="exact"/>
              <w:rPr>
                <w:rFonts w:hint="eastAsia" w:ascii="宋体" w:hAnsi="宋体" w:eastAsia="宋体" w:cs="宋体"/>
                <w:i w:val="0"/>
                <w:iCs w:val="0"/>
                <w:color w:val="000000"/>
                <w:sz w:val="21"/>
                <w:szCs w:val="21"/>
                <w:u w:val="none"/>
              </w:rPr>
            </w:pPr>
          </w:p>
        </w:tc>
        <w:tc>
          <w:tcPr>
            <w:tcW w:w="246" w:type="pct"/>
            <w:tcBorders>
              <w:top w:val="single" w:color="DDDDDD" w:sz="4" w:space="0"/>
              <w:left w:val="single" w:color="DDDDDD" w:sz="4" w:space="0"/>
              <w:bottom w:val="single" w:color="DDDDDD" w:sz="4" w:space="0"/>
              <w:right w:val="single" w:color="DDDDDD" w:sz="4" w:space="0"/>
            </w:tcBorders>
            <w:shd w:val="clear" w:color="auto" w:fill="FFFFFF"/>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w:t>
            </w:r>
          </w:p>
        </w:tc>
        <w:tc>
          <w:tcPr>
            <w:tcW w:w="825" w:type="pct"/>
            <w:tcBorders>
              <w:top w:val="single" w:color="DDDDDD" w:sz="4" w:space="0"/>
              <w:left w:val="single" w:color="DDDDDD" w:sz="4" w:space="0"/>
              <w:bottom w:val="single" w:color="DDDDDD" w:sz="4" w:space="0"/>
              <w:right w:val="single" w:color="DDDDDD" w:sz="4" w:space="0"/>
            </w:tcBorders>
            <w:shd w:val="clear" w:color="auto" w:fill="FFFFFF"/>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合同正在执行中</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0" w:hRule="atLeast"/>
          <w:jc w:val="center"/>
        </w:trPr>
        <w:tc>
          <w:tcPr>
            <w:tcW w:w="302" w:type="pct"/>
            <w:vMerge w:val="continue"/>
            <w:tcBorders>
              <w:top w:val="single" w:color="DDDDDD" w:sz="4" w:space="0"/>
              <w:left w:val="single" w:color="4684D3" w:sz="4" w:space="0"/>
              <w:bottom w:val="single" w:color="DDDDDD" w:sz="4" w:space="0"/>
              <w:right w:val="single" w:color="DDDDDD" w:sz="4" w:space="0"/>
            </w:tcBorders>
            <w:shd w:val="clear" w:color="auto" w:fill="FFFFFF"/>
            <w:noWrap w:val="0"/>
            <w:vAlign w:val="center"/>
          </w:tcPr>
          <w:p>
            <w:pPr>
              <w:keepNext w:val="0"/>
              <w:keepLines w:val="0"/>
              <w:pageBreakBefore w:val="0"/>
              <w:widowControl/>
              <w:kinsoku/>
              <w:wordWrap/>
              <w:overflowPunct/>
              <w:topLinePunct w:val="0"/>
              <w:autoSpaceDE/>
              <w:autoSpaceDN/>
              <w:bidi w:val="0"/>
              <w:adjustRightInd/>
              <w:snapToGrid/>
              <w:spacing w:line="240" w:lineRule="exact"/>
              <w:jc w:val="center"/>
              <w:rPr>
                <w:rFonts w:hint="eastAsia" w:ascii="宋体" w:hAnsi="宋体" w:eastAsia="宋体" w:cs="宋体"/>
                <w:b/>
                <w:bCs/>
                <w:i w:val="0"/>
                <w:iCs w:val="0"/>
                <w:color w:val="000000"/>
                <w:sz w:val="21"/>
                <w:szCs w:val="21"/>
                <w:u w:val="none"/>
              </w:rPr>
            </w:pPr>
          </w:p>
        </w:tc>
        <w:tc>
          <w:tcPr>
            <w:tcW w:w="262" w:type="pct"/>
            <w:vMerge w:val="continue"/>
            <w:tcBorders>
              <w:top w:val="single" w:color="DDDDDD" w:sz="4" w:space="0"/>
              <w:left w:val="single" w:color="DDDDDD" w:sz="4" w:space="0"/>
              <w:bottom w:val="single" w:color="DDDDDD" w:sz="4" w:space="0"/>
              <w:right w:val="single" w:color="DDDDDD" w:sz="4" w:space="0"/>
            </w:tcBorders>
            <w:shd w:val="clear" w:color="auto" w:fill="FFFFFF"/>
            <w:noWrap w:val="0"/>
            <w:textDirection w:val="tbRlV"/>
            <w:vAlign w:val="center"/>
          </w:tcPr>
          <w:p>
            <w:pPr>
              <w:keepNext w:val="0"/>
              <w:keepLines w:val="0"/>
              <w:pageBreakBefore w:val="0"/>
              <w:widowControl/>
              <w:kinsoku/>
              <w:wordWrap/>
              <w:overflowPunct/>
              <w:topLinePunct w:val="0"/>
              <w:autoSpaceDE/>
              <w:autoSpaceDN/>
              <w:bidi w:val="0"/>
              <w:adjustRightInd/>
              <w:snapToGrid/>
              <w:spacing w:line="240" w:lineRule="exact"/>
              <w:jc w:val="center"/>
              <w:rPr>
                <w:rFonts w:hint="eastAsia" w:ascii="宋体" w:hAnsi="宋体" w:eastAsia="宋体" w:cs="宋体"/>
                <w:b/>
                <w:bCs/>
                <w:i w:val="0"/>
                <w:iCs w:val="0"/>
                <w:color w:val="000000"/>
                <w:sz w:val="21"/>
                <w:szCs w:val="21"/>
                <w:u w:val="none"/>
              </w:rPr>
            </w:pPr>
          </w:p>
        </w:tc>
        <w:tc>
          <w:tcPr>
            <w:tcW w:w="257" w:type="pct"/>
            <w:tcBorders>
              <w:top w:val="single" w:color="DDDDDD" w:sz="4" w:space="0"/>
              <w:left w:val="single" w:color="DDDDDD" w:sz="4" w:space="0"/>
              <w:bottom w:val="single" w:color="DDDDDD" w:sz="4" w:space="0"/>
              <w:right w:val="single" w:color="DDDDDD" w:sz="4" w:space="0"/>
            </w:tcBorders>
            <w:shd w:val="clear" w:color="auto" w:fill="FFFFFF"/>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完成时效</w:t>
            </w:r>
          </w:p>
        </w:tc>
        <w:tc>
          <w:tcPr>
            <w:tcW w:w="413" w:type="pct"/>
            <w:tcBorders>
              <w:top w:val="single" w:color="DDDDDD" w:sz="4" w:space="0"/>
              <w:left w:val="single" w:color="DDDDDD" w:sz="4" w:space="0"/>
              <w:bottom w:val="single" w:color="DDDDDD" w:sz="4" w:space="0"/>
              <w:right w:val="single" w:color="DDDDDD" w:sz="4" w:space="0"/>
            </w:tcBorders>
            <w:shd w:val="clear" w:color="auto" w:fill="FFFFFF"/>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2021年12月底</w:t>
            </w:r>
          </w:p>
        </w:tc>
        <w:tc>
          <w:tcPr>
            <w:tcW w:w="418" w:type="pct"/>
            <w:tcBorders>
              <w:top w:val="single" w:color="DDDDDD" w:sz="4" w:space="0"/>
              <w:left w:val="single" w:color="DDDDDD" w:sz="4" w:space="0"/>
              <w:bottom w:val="single" w:color="DDDDDD" w:sz="4" w:space="0"/>
              <w:right w:val="single" w:color="DDDDDD" w:sz="4" w:space="0"/>
            </w:tcBorders>
            <w:shd w:val="clear" w:color="auto" w:fill="FFFFFF"/>
            <w:noWrap w:val="0"/>
            <w:vAlign w:val="center"/>
          </w:tcPr>
          <w:p>
            <w:pPr>
              <w:keepNext w:val="0"/>
              <w:keepLines w:val="0"/>
              <w:pageBreakBefore w:val="0"/>
              <w:widowControl/>
              <w:kinsoku/>
              <w:wordWrap/>
              <w:overflowPunct/>
              <w:topLinePunct w:val="0"/>
              <w:autoSpaceDE/>
              <w:autoSpaceDN/>
              <w:bidi w:val="0"/>
              <w:adjustRightInd/>
              <w:snapToGrid/>
              <w:spacing w:line="240" w:lineRule="exact"/>
              <w:jc w:val="center"/>
              <w:rPr>
                <w:rFonts w:hint="eastAsia" w:ascii="宋体" w:hAnsi="宋体" w:eastAsia="宋体" w:cs="宋体"/>
                <w:i w:val="0"/>
                <w:iCs w:val="0"/>
                <w:color w:val="000000"/>
                <w:sz w:val="21"/>
                <w:szCs w:val="21"/>
                <w:u w:val="none"/>
              </w:rPr>
            </w:pPr>
          </w:p>
        </w:tc>
        <w:tc>
          <w:tcPr>
            <w:tcW w:w="250" w:type="pct"/>
            <w:tcBorders>
              <w:top w:val="single" w:color="DDDDDD" w:sz="4" w:space="0"/>
              <w:left w:val="single" w:color="DDDDDD" w:sz="4" w:space="0"/>
              <w:bottom w:val="single" w:color="DDDDDD" w:sz="4" w:space="0"/>
              <w:right w:val="single" w:color="DDDDDD" w:sz="4" w:space="0"/>
            </w:tcBorders>
            <w:shd w:val="clear" w:color="auto" w:fill="FFFFFF"/>
            <w:noWrap w:val="0"/>
            <w:vAlign w:val="center"/>
          </w:tcPr>
          <w:p>
            <w:pPr>
              <w:keepNext w:val="0"/>
              <w:keepLines w:val="0"/>
              <w:pageBreakBefore w:val="0"/>
              <w:widowControl/>
              <w:kinsoku/>
              <w:wordWrap/>
              <w:overflowPunct/>
              <w:topLinePunct w:val="0"/>
              <w:autoSpaceDE/>
              <w:autoSpaceDN/>
              <w:bidi w:val="0"/>
              <w:adjustRightInd/>
              <w:snapToGrid/>
              <w:spacing w:line="240" w:lineRule="exact"/>
              <w:jc w:val="center"/>
              <w:rPr>
                <w:rFonts w:hint="eastAsia" w:ascii="宋体" w:hAnsi="宋体" w:eastAsia="宋体" w:cs="宋体"/>
                <w:i w:val="0"/>
                <w:iCs w:val="0"/>
                <w:color w:val="000000"/>
                <w:sz w:val="21"/>
                <w:szCs w:val="21"/>
                <w:u w:val="none"/>
              </w:rPr>
            </w:pPr>
          </w:p>
        </w:tc>
        <w:tc>
          <w:tcPr>
            <w:tcW w:w="1450" w:type="pct"/>
            <w:gridSpan w:val="5"/>
            <w:tcBorders>
              <w:top w:val="single" w:color="DDDDDD" w:sz="4" w:space="0"/>
              <w:left w:val="single" w:color="DDDDDD" w:sz="4" w:space="0"/>
              <w:bottom w:val="single" w:color="DDDDDD" w:sz="4" w:space="0"/>
              <w:right w:val="single" w:color="DDDDDD" w:sz="4" w:space="0"/>
            </w:tcBorders>
            <w:shd w:val="clear" w:color="auto" w:fill="FFFFFF"/>
            <w:noWrap w:val="0"/>
            <w:vAlign w:val="center"/>
          </w:tcPr>
          <w:p>
            <w:pPr>
              <w:keepNext w:val="0"/>
              <w:keepLines w:val="0"/>
              <w:pageBreakBefore w:val="0"/>
              <w:widowControl/>
              <w:kinsoku/>
              <w:wordWrap/>
              <w:overflowPunct/>
              <w:topLinePunct w:val="0"/>
              <w:autoSpaceDE/>
              <w:autoSpaceDN/>
              <w:bidi w:val="0"/>
              <w:adjustRightInd/>
              <w:snapToGrid/>
              <w:spacing w:line="240" w:lineRule="exact"/>
              <w:jc w:val="center"/>
              <w:rPr>
                <w:rFonts w:hint="eastAsia" w:ascii="宋体" w:hAnsi="宋体" w:eastAsia="宋体" w:cs="宋体"/>
                <w:i w:val="0"/>
                <w:iCs w:val="0"/>
                <w:color w:val="000000"/>
                <w:sz w:val="21"/>
                <w:szCs w:val="21"/>
                <w:u w:val="none"/>
              </w:rPr>
            </w:pPr>
          </w:p>
        </w:tc>
        <w:tc>
          <w:tcPr>
            <w:tcW w:w="573" w:type="pct"/>
            <w:tcBorders>
              <w:top w:val="single" w:color="DDDDDD" w:sz="4" w:space="0"/>
              <w:left w:val="single" w:color="DDDDDD" w:sz="4" w:space="0"/>
              <w:bottom w:val="single" w:color="DDDDDD" w:sz="4" w:space="0"/>
              <w:right w:val="single" w:color="DDDDDD" w:sz="4" w:space="0"/>
            </w:tcBorders>
            <w:shd w:val="clear" w:color="auto" w:fill="FFFFFF"/>
            <w:noWrap w:val="0"/>
            <w:vAlign w:val="center"/>
          </w:tcPr>
          <w:p>
            <w:pPr>
              <w:keepNext w:val="0"/>
              <w:keepLines w:val="0"/>
              <w:pageBreakBefore w:val="0"/>
              <w:widowControl/>
              <w:kinsoku/>
              <w:wordWrap/>
              <w:overflowPunct/>
              <w:topLinePunct w:val="0"/>
              <w:autoSpaceDE/>
              <w:autoSpaceDN/>
              <w:bidi w:val="0"/>
              <w:adjustRightInd/>
              <w:snapToGrid/>
              <w:spacing w:line="240" w:lineRule="exact"/>
              <w:rPr>
                <w:rFonts w:hint="eastAsia" w:ascii="宋体" w:hAnsi="宋体" w:eastAsia="宋体" w:cs="宋体"/>
                <w:i w:val="0"/>
                <w:iCs w:val="0"/>
                <w:color w:val="000000"/>
                <w:sz w:val="21"/>
                <w:szCs w:val="21"/>
                <w:u w:val="none"/>
              </w:rPr>
            </w:pPr>
          </w:p>
        </w:tc>
        <w:tc>
          <w:tcPr>
            <w:tcW w:w="246" w:type="pct"/>
            <w:tcBorders>
              <w:top w:val="single" w:color="DDDDDD" w:sz="4" w:space="0"/>
              <w:left w:val="single" w:color="DDDDDD" w:sz="4" w:space="0"/>
              <w:bottom w:val="single" w:color="DDDDDD" w:sz="4" w:space="0"/>
              <w:right w:val="single" w:color="DDDDDD" w:sz="4" w:space="0"/>
            </w:tcBorders>
            <w:shd w:val="clear" w:color="auto" w:fill="FFFFFF"/>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w:t>
            </w:r>
          </w:p>
        </w:tc>
        <w:tc>
          <w:tcPr>
            <w:tcW w:w="825" w:type="pct"/>
            <w:tcBorders>
              <w:top w:val="single" w:color="DDDDDD" w:sz="4" w:space="0"/>
              <w:left w:val="single" w:color="DDDDDD" w:sz="4" w:space="0"/>
              <w:bottom w:val="single" w:color="DDDDDD" w:sz="4" w:space="0"/>
              <w:right w:val="single" w:color="DDDDDD" w:sz="4" w:space="0"/>
            </w:tcBorders>
            <w:shd w:val="clear" w:color="auto" w:fill="FFFFFF"/>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2021年5月完成</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0" w:hRule="atLeast"/>
          <w:jc w:val="center"/>
        </w:trPr>
        <w:tc>
          <w:tcPr>
            <w:tcW w:w="302" w:type="pct"/>
            <w:vMerge w:val="continue"/>
            <w:tcBorders>
              <w:top w:val="single" w:color="DDDDDD" w:sz="4" w:space="0"/>
              <w:left w:val="single" w:color="4684D3" w:sz="4" w:space="0"/>
              <w:bottom w:val="single" w:color="DDDDDD" w:sz="4" w:space="0"/>
              <w:right w:val="single" w:color="DDDDDD" w:sz="4" w:space="0"/>
            </w:tcBorders>
            <w:shd w:val="clear" w:color="auto" w:fill="FFFFFF"/>
            <w:noWrap w:val="0"/>
            <w:vAlign w:val="center"/>
          </w:tcPr>
          <w:p>
            <w:pPr>
              <w:keepNext w:val="0"/>
              <w:keepLines w:val="0"/>
              <w:pageBreakBefore w:val="0"/>
              <w:widowControl/>
              <w:kinsoku/>
              <w:wordWrap/>
              <w:overflowPunct/>
              <w:topLinePunct w:val="0"/>
              <w:autoSpaceDE/>
              <w:autoSpaceDN/>
              <w:bidi w:val="0"/>
              <w:adjustRightInd/>
              <w:snapToGrid/>
              <w:spacing w:line="240" w:lineRule="exact"/>
              <w:jc w:val="center"/>
              <w:rPr>
                <w:rFonts w:hint="eastAsia" w:ascii="宋体" w:hAnsi="宋体" w:eastAsia="宋体" w:cs="宋体"/>
                <w:b/>
                <w:bCs/>
                <w:i w:val="0"/>
                <w:iCs w:val="0"/>
                <w:color w:val="000000"/>
                <w:sz w:val="21"/>
                <w:szCs w:val="21"/>
                <w:u w:val="none"/>
              </w:rPr>
            </w:pPr>
          </w:p>
        </w:tc>
        <w:tc>
          <w:tcPr>
            <w:tcW w:w="262" w:type="pct"/>
            <w:vMerge w:val="continue"/>
            <w:tcBorders>
              <w:top w:val="single" w:color="DDDDDD" w:sz="4" w:space="0"/>
              <w:left w:val="single" w:color="DDDDDD" w:sz="4" w:space="0"/>
              <w:bottom w:val="single" w:color="DDDDDD" w:sz="4" w:space="0"/>
              <w:right w:val="single" w:color="DDDDDD" w:sz="4" w:space="0"/>
            </w:tcBorders>
            <w:shd w:val="clear" w:color="auto" w:fill="FFFFFF"/>
            <w:noWrap w:val="0"/>
            <w:textDirection w:val="tbRlV"/>
            <w:vAlign w:val="center"/>
          </w:tcPr>
          <w:p>
            <w:pPr>
              <w:keepNext w:val="0"/>
              <w:keepLines w:val="0"/>
              <w:pageBreakBefore w:val="0"/>
              <w:widowControl/>
              <w:kinsoku/>
              <w:wordWrap/>
              <w:overflowPunct/>
              <w:topLinePunct w:val="0"/>
              <w:autoSpaceDE/>
              <w:autoSpaceDN/>
              <w:bidi w:val="0"/>
              <w:adjustRightInd/>
              <w:snapToGrid/>
              <w:spacing w:line="240" w:lineRule="exact"/>
              <w:jc w:val="center"/>
              <w:rPr>
                <w:rFonts w:hint="eastAsia" w:ascii="宋体" w:hAnsi="宋体" w:eastAsia="宋体" w:cs="宋体"/>
                <w:b/>
                <w:bCs/>
                <w:i w:val="0"/>
                <w:iCs w:val="0"/>
                <w:color w:val="000000"/>
                <w:sz w:val="21"/>
                <w:szCs w:val="21"/>
                <w:u w:val="none"/>
              </w:rPr>
            </w:pPr>
          </w:p>
        </w:tc>
        <w:tc>
          <w:tcPr>
            <w:tcW w:w="257" w:type="pct"/>
            <w:tcBorders>
              <w:top w:val="single" w:color="DDDDDD" w:sz="4" w:space="0"/>
              <w:left w:val="single" w:color="DDDDDD" w:sz="4" w:space="0"/>
              <w:bottom w:val="single" w:color="DDDDDD" w:sz="4" w:space="0"/>
              <w:right w:val="single" w:color="DDDDDD" w:sz="4" w:space="0"/>
            </w:tcBorders>
            <w:shd w:val="clear" w:color="auto" w:fill="FFFFFF"/>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完成成本</w:t>
            </w:r>
          </w:p>
        </w:tc>
        <w:tc>
          <w:tcPr>
            <w:tcW w:w="413" w:type="pct"/>
            <w:tcBorders>
              <w:top w:val="single" w:color="DDDDDD" w:sz="4" w:space="0"/>
              <w:left w:val="single" w:color="DDDDDD" w:sz="4" w:space="0"/>
              <w:bottom w:val="single" w:color="DDDDDD" w:sz="4" w:space="0"/>
              <w:right w:val="single" w:color="DDDDDD" w:sz="4" w:space="0"/>
            </w:tcBorders>
            <w:shd w:val="clear" w:color="auto" w:fill="FFFFFF"/>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《华蓥烽火》出版前期工作完成支付10万元</w:t>
            </w:r>
          </w:p>
        </w:tc>
        <w:tc>
          <w:tcPr>
            <w:tcW w:w="418" w:type="pct"/>
            <w:tcBorders>
              <w:top w:val="single" w:color="DDDDDD" w:sz="4" w:space="0"/>
              <w:left w:val="single" w:color="DDDDDD" w:sz="4" w:space="0"/>
              <w:bottom w:val="single" w:color="DDDDDD" w:sz="4" w:space="0"/>
              <w:right w:val="single" w:color="DDDDDD" w:sz="4" w:space="0"/>
            </w:tcBorders>
            <w:shd w:val="clear" w:color="auto" w:fill="FFFFFF"/>
            <w:noWrap w:val="0"/>
            <w:vAlign w:val="center"/>
          </w:tcPr>
          <w:p>
            <w:pPr>
              <w:keepNext w:val="0"/>
              <w:keepLines w:val="0"/>
              <w:pageBreakBefore w:val="0"/>
              <w:widowControl/>
              <w:kinsoku/>
              <w:wordWrap/>
              <w:overflowPunct/>
              <w:topLinePunct w:val="0"/>
              <w:autoSpaceDE/>
              <w:autoSpaceDN/>
              <w:bidi w:val="0"/>
              <w:adjustRightInd/>
              <w:snapToGrid/>
              <w:spacing w:line="240" w:lineRule="exact"/>
              <w:jc w:val="center"/>
              <w:rPr>
                <w:rFonts w:hint="eastAsia" w:ascii="宋体" w:hAnsi="宋体" w:eastAsia="宋体" w:cs="宋体"/>
                <w:i w:val="0"/>
                <w:iCs w:val="0"/>
                <w:color w:val="000000"/>
                <w:sz w:val="21"/>
                <w:szCs w:val="21"/>
                <w:u w:val="none"/>
              </w:rPr>
            </w:pPr>
          </w:p>
        </w:tc>
        <w:tc>
          <w:tcPr>
            <w:tcW w:w="250" w:type="pct"/>
            <w:tcBorders>
              <w:top w:val="single" w:color="DDDDDD" w:sz="4" w:space="0"/>
              <w:left w:val="single" w:color="DDDDDD" w:sz="4" w:space="0"/>
              <w:bottom w:val="single" w:color="DDDDDD" w:sz="4" w:space="0"/>
              <w:right w:val="single" w:color="DDDDDD" w:sz="4" w:space="0"/>
            </w:tcBorders>
            <w:shd w:val="clear" w:color="auto" w:fill="FFFFFF"/>
            <w:noWrap w:val="0"/>
            <w:vAlign w:val="center"/>
          </w:tcPr>
          <w:p>
            <w:pPr>
              <w:keepNext w:val="0"/>
              <w:keepLines w:val="0"/>
              <w:pageBreakBefore w:val="0"/>
              <w:widowControl/>
              <w:kinsoku/>
              <w:wordWrap/>
              <w:overflowPunct/>
              <w:topLinePunct w:val="0"/>
              <w:autoSpaceDE/>
              <w:autoSpaceDN/>
              <w:bidi w:val="0"/>
              <w:adjustRightInd/>
              <w:snapToGrid/>
              <w:spacing w:line="240" w:lineRule="exact"/>
              <w:jc w:val="center"/>
              <w:rPr>
                <w:rFonts w:hint="eastAsia" w:ascii="宋体" w:hAnsi="宋体" w:eastAsia="宋体" w:cs="宋体"/>
                <w:i w:val="0"/>
                <w:iCs w:val="0"/>
                <w:color w:val="000000"/>
                <w:sz w:val="21"/>
                <w:szCs w:val="21"/>
                <w:u w:val="none"/>
              </w:rPr>
            </w:pPr>
          </w:p>
        </w:tc>
        <w:tc>
          <w:tcPr>
            <w:tcW w:w="1450" w:type="pct"/>
            <w:gridSpan w:val="5"/>
            <w:tcBorders>
              <w:top w:val="single" w:color="DDDDDD" w:sz="4" w:space="0"/>
              <w:left w:val="single" w:color="DDDDDD" w:sz="4" w:space="0"/>
              <w:bottom w:val="single" w:color="DDDDDD" w:sz="4" w:space="0"/>
              <w:right w:val="single" w:color="DDDDDD" w:sz="4" w:space="0"/>
            </w:tcBorders>
            <w:shd w:val="clear" w:color="auto" w:fill="FFFFFF"/>
            <w:noWrap w:val="0"/>
            <w:vAlign w:val="center"/>
          </w:tcPr>
          <w:p>
            <w:pPr>
              <w:keepNext w:val="0"/>
              <w:keepLines w:val="0"/>
              <w:pageBreakBefore w:val="0"/>
              <w:widowControl/>
              <w:kinsoku/>
              <w:wordWrap/>
              <w:overflowPunct/>
              <w:topLinePunct w:val="0"/>
              <w:autoSpaceDE/>
              <w:autoSpaceDN/>
              <w:bidi w:val="0"/>
              <w:adjustRightInd/>
              <w:snapToGrid/>
              <w:spacing w:line="240" w:lineRule="exact"/>
              <w:jc w:val="center"/>
              <w:rPr>
                <w:rFonts w:hint="eastAsia" w:ascii="宋体" w:hAnsi="宋体" w:eastAsia="宋体" w:cs="宋体"/>
                <w:i w:val="0"/>
                <w:iCs w:val="0"/>
                <w:color w:val="000000"/>
                <w:sz w:val="21"/>
                <w:szCs w:val="21"/>
                <w:u w:val="none"/>
              </w:rPr>
            </w:pPr>
          </w:p>
        </w:tc>
        <w:tc>
          <w:tcPr>
            <w:tcW w:w="573" w:type="pct"/>
            <w:tcBorders>
              <w:top w:val="single" w:color="DDDDDD" w:sz="4" w:space="0"/>
              <w:left w:val="single" w:color="DDDDDD" w:sz="4" w:space="0"/>
              <w:bottom w:val="single" w:color="DDDDDD" w:sz="4" w:space="0"/>
              <w:right w:val="single" w:color="DDDDDD" w:sz="4" w:space="0"/>
            </w:tcBorders>
            <w:shd w:val="clear" w:color="auto" w:fill="FFFFFF"/>
            <w:noWrap w:val="0"/>
            <w:vAlign w:val="center"/>
          </w:tcPr>
          <w:p>
            <w:pPr>
              <w:keepNext w:val="0"/>
              <w:keepLines w:val="0"/>
              <w:pageBreakBefore w:val="0"/>
              <w:widowControl/>
              <w:kinsoku/>
              <w:wordWrap/>
              <w:overflowPunct/>
              <w:topLinePunct w:val="0"/>
              <w:autoSpaceDE/>
              <w:autoSpaceDN/>
              <w:bidi w:val="0"/>
              <w:adjustRightInd/>
              <w:snapToGrid/>
              <w:spacing w:line="240" w:lineRule="exact"/>
              <w:rPr>
                <w:rFonts w:hint="eastAsia" w:ascii="宋体" w:hAnsi="宋体" w:eastAsia="宋体" w:cs="宋体"/>
                <w:i w:val="0"/>
                <w:iCs w:val="0"/>
                <w:color w:val="000000"/>
                <w:sz w:val="21"/>
                <w:szCs w:val="21"/>
                <w:u w:val="none"/>
              </w:rPr>
            </w:pPr>
          </w:p>
        </w:tc>
        <w:tc>
          <w:tcPr>
            <w:tcW w:w="246" w:type="pct"/>
            <w:tcBorders>
              <w:top w:val="single" w:color="DDDDDD" w:sz="4" w:space="0"/>
              <w:left w:val="single" w:color="DDDDDD" w:sz="4" w:space="0"/>
              <w:bottom w:val="single" w:color="DDDDDD" w:sz="4" w:space="0"/>
              <w:right w:val="single" w:color="DDDDDD" w:sz="4" w:space="0"/>
            </w:tcBorders>
            <w:shd w:val="clear" w:color="auto" w:fill="FFFFFF"/>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w:t>
            </w:r>
          </w:p>
        </w:tc>
        <w:tc>
          <w:tcPr>
            <w:tcW w:w="825" w:type="pct"/>
            <w:tcBorders>
              <w:top w:val="single" w:color="DDDDDD" w:sz="4" w:space="0"/>
              <w:left w:val="single" w:color="DDDDDD" w:sz="4" w:space="0"/>
              <w:bottom w:val="single" w:color="DDDDDD" w:sz="4" w:space="0"/>
              <w:right w:val="single" w:color="DDDDDD" w:sz="4" w:space="0"/>
            </w:tcBorders>
            <w:shd w:val="clear" w:color="auto" w:fill="FFFFFF"/>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华蓥烽火》出版前期工作完成支付4.9万元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0" w:hRule="atLeast"/>
          <w:jc w:val="center"/>
        </w:trPr>
        <w:tc>
          <w:tcPr>
            <w:tcW w:w="302" w:type="pct"/>
            <w:vMerge w:val="continue"/>
            <w:tcBorders>
              <w:top w:val="single" w:color="DDDDDD" w:sz="4" w:space="0"/>
              <w:left w:val="single" w:color="4684D3" w:sz="4" w:space="0"/>
              <w:bottom w:val="single" w:color="DDDDDD" w:sz="4" w:space="0"/>
              <w:right w:val="single" w:color="DDDDDD" w:sz="4" w:space="0"/>
            </w:tcBorders>
            <w:shd w:val="clear" w:color="auto" w:fill="FFFFFF"/>
            <w:noWrap w:val="0"/>
            <w:vAlign w:val="center"/>
          </w:tcPr>
          <w:p>
            <w:pPr>
              <w:keepNext w:val="0"/>
              <w:keepLines w:val="0"/>
              <w:pageBreakBefore w:val="0"/>
              <w:widowControl/>
              <w:kinsoku/>
              <w:wordWrap/>
              <w:overflowPunct/>
              <w:topLinePunct w:val="0"/>
              <w:autoSpaceDE/>
              <w:autoSpaceDN/>
              <w:bidi w:val="0"/>
              <w:adjustRightInd/>
              <w:snapToGrid/>
              <w:spacing w:line="240" w:lineRule="exact"/>
              <w:jc w:val="center"/>
              <w:rPr>
                <w:rFonts w:hint="eastAsia" w:ascii="宋体" w:hAnsi="宋体" w:eastAsia="宋体" w:cs="宋体"/>
                <w:b/>
                <w:bCs/>
                <w:i w:val="0"/>
                <w:iCs w:val="0"/>
                <w:color w:val="000000"/>
                <w:sz w:val="21"/>
                <w:szCs w:val="21"/>
                <w:u w:val="none"/>
              </w:rPr>
            </w:pPr>
          </w:p>
        </w:tc>
        <w:tc>
          <w:tcPr>
            <w:tcW w:w="262" w:type="pct"/>
            <w:vMerge w:val="continue"/>
            <w:tcBorders>
              <w:top w:val="single" w:color="DDDDDD" w:sz="4" w:space="0"/>
              <w:left w:val="single" w:color="DDDDDD" w:sz="4" w:space="0"/>
              <w:bottom w:val="single" w:color="DDDDDD" w:sz="4" w:space="0"/>
              <w:right w:val="single" w:color="DDDDDD" w:sz="4" w:space="0"/>
            </w:tcBorders>
            <w:shd w:val="clear" w:color="auto" w:fill="FFFFFF"/>
            <w:noWrap w:val="0"/>
            <w:textDirection w:val="tbRlV"/>
            <w:vAlign w:val="center"/>
          </w:tcPr>
          <w:p>
            <w:pPr>
              <w:keepNext w:val="0"/>
              <w:keepLines w:val="0"/>
              <w:pageBreakBefore w:val="0"/>
              <w:widowControl/>
              <w:kinsoku/>
              <w:wordWrap/>
              <w:overflowPunct/>
              <w:topLinePunct w:val="0"/>
              <w:autoSpaceDE/>
              <w:autoSpaceDN/>
              <w:bidi w:val="0"/>
              <w:adjustRightInd/>
              <w:snapToGrid/>
              <w:spacing w:line="240" w:lineRule="exact"/>
              <w:jc w:val="center"/>
              <w:rPr>
                <w:rFonts w:hint="eastAsia" w:ascii="宋体" w:hAnsi="宋体" w:eastAsia="宋体" w:cs="宋体"/>
                <w:b/>
                <w:bCs/>
                <w:i w:val="0"/>
                <w:iCs w:val="0"/>
                <w:color w:val="000000"/>
                <w:sz w:val="21"/>
                <w:szCs w:val="21"/>
                <w:u w:val="none"/>
              </w:rPr>
            </w:pPr>
          </w:p>
        </w:tc>
        <w:tc>
          <w:tcPr>
            <w:tcW w:w="257" w:type="pct"/>
            <w:tcBorders>
              <w:top w:val="single" w:color="DDDDDD" w:sz="4" w:space="0"/>
              <w:left w:val="single" w:color="DDDDDD" w:sz="4" w:space="0"/>
              <w:bottom w:val="single" w:color="DDDDDD" w:sz="4" w:space="0"/>
              <w:right w:val="single" w:color="DDDDDD" w:sz="4" w:space="0"/>
            </w:tcBorders>
            <w:shd w:val="clear" w:color="auto" w:fill="FFFFFF"/>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社会效益</w:t>
            </w:r>
          </w:p>
        </w:tc>
        <w:tc>
          <w:tcPr>
            <w:tcW w:w="413" w:type="pct"/>
            <w:tcBorders>
              <w:top w:val="single" w:color="DDDDDD" w:sz="4" w:space="0"/>
              <w:left w:val="single" w:color="DDDDDD" w:sz="4" w:space="0"/>
              <w:bottom w:val="single" w:color="DDDDDD" w:sz="4" w:space="0"/>
              <w:right w:val="single" w:color="DDDDDD" w:sz="4" w:space="0"/>
            </w:tcBorders>
            <w:shd w:val="clear" w:color="auto" w:fill="FFFFFF"/>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院校的知名度和影响力持续扩大</w:t>
            </w:r>
          </w:p>
        </w:tc>
        <w:tc>
          <w:tcPr>
            <w:tcW w:w="418" w:type="pct"/>
            <w:tcBorders>
              <w:top w:val="single" w:color="DDDDDD" w:sz="4" w:space="0"/>
              <w:left w:val="single" w:color="DDDDDD" w:sz="4" w:space="0"/>
              <w:bottom w:val="single" w:color="DDDDDD" w:sz="4" w:space="0"/>
              <w:right w:val="single" w:color="DDDDDD" w:sz="4" w:space="0"/>
            </w:tcBorders>
            <w:shd w:val="clear" w:color="auto" w:fill="FFFFFF"/>
            <w:noWrap w:val="0"/>
            <w:vAlign w:val="center"/>
          </w:tcPr>
          <w:p>
            <w:pPr>
              <w:keepNext w:val="0"/>
              <w:keepLines w:val="0"/>
              <w:pageBreakBefore w:val="0"/>
              <w:widowControl/>
              <w:kinsoku/>
              <w:wordWrap/>
              <w:overflowPunct/>
              <w:topLinePunct w:val="0"/>
              <w:autoSpaceDE/>
              <w:autoSpaceDN/>
              <w:bidi w:val="0"/>
              <w:adjustRightInd/>
              <w:snapToGrid/>
              <w:spacing w:line="240" w:lineRule="exact"/>
              <w:jc w:val="center"/>
              <w:rPr>
                <w:rFonts w:hint="eastAsia" w:ascii="宋体" w:hAnsi="宋体" w:eastAsia="宋体" w:cs="宋体"/>
                <w:i w:val="0"/>
                <w:iCs w:val="0"/>
                <w:color w:val="000000"/>
                <w:sz w:val="21"/>
                <w:szCs w:val="21"/>
                <w:u w:val="none"/>
              </w:rPr>
            </w:pPr>
          </w:p>
        </w:tc>
        <w:tc>
          <w:tcPr>
            <w:tcW w:w="250" w:type="pct"/>
            <w:tcBorders>
              <w:top w:val="single" w:color="DDDDDD" w:sz="4" w:space="0"/>
              <w:left w:val="single" w:color="DDDDDD" w:sz="4" w:space="0"/>
              <w:bottom w:val="single" w:color="DDDDDD" w:sz="4" w:space="0"/>
              <w:right w:val="single" w:color="DDDDDD" w:sz="4" w:space="0"/>
            </w:tcBorders>
            <w:shd w:val="clear" w:color="auto" w:fill="FFFFFF"/>
            <w:noWrap w:val="0"/>
            <w:vAlign w:val="center"/>
          </w:tcPr>
          <w:p>
            <w:pPr>
              <w:keepNext w:val="0"/>
              <w:keepLines w:val="0"/>
              <w:pageBreakBefore w:val="0"/>
              <w:widowControl/>
              <w:kinsoku/>
              <w:wordWrap/>
              <w:overflowPunct/>
              <w:topLinePunct w:val="0"/>
              <w:autoSpaceDE/>
              <w:autoSpaceDN/>
              <w:bidi w:val="0"/>
              <w:adjustRightInd/>
              <w:snapToGrid/>
              <w:spacing w:line="240" w:lineRule="exact"/>
              <w:jc w:val="center"/>
              <w:rPr>
                <w:rFonts w:hint="eastAsia" w:ascii="宋体" w:hAnsi="宋体" w:eastAsia="宋体" w:cs="宋体"/>
                <w:i w:val="0"/>
                <w:iCs w:val="0"/>
                <w:color w:val="000000"/>
                <w:sz w:val="21"/>
                <w:szCs w:val="21"/>
                <w:u w:val="none"/>
              </w:rPr>
            </w:pPr>
          </w:p>
        </w:tc>
        <w:tc>
          <w:tcPr>
            <w:tcW w:w="256" w:type="pct"/>
            <w:tcBorders>
              <w:top w:val="single" w:color="DDDDDD" w:sz="4" w:space="0"/>
              <w:left w:val="single" w:color="DDDDDD" w:sz="4" w:space="0"/>
              <w:bottom w:val="single" w:color="DDDDDD" w:sz="4" w:space="0"/>
              <w:right w:val="single" w:color="DDDDDD" w:sz="4" w:space="0"/>
            </w:tcBorders>
            <w:shd w:val="clear" w:color="auto" w:fill="FFFFFF"/>
            <w:noWrap w:val="0"/>
            <w:vAlign w:val="center"/>
          </w:tcPr>
          <w:p>
            <w:pPr>
              <w:keepNext w:val="0"/>
              <w:keepLines w:val="0"/>
              <w:pageBreakBefore w:val="0"/>
              <w:widowControl/>
              <w:kinsoku/>
              <w:wordWrap/>
              <w:overflowPunct/>
              <w:topLinePunct w:val="0"/>
              <w:autoSpaceDE/>
              <w:autoSpaceDN/>
              <w:bidi w:val="0"/>
              <w:adjustRightInd/>
              <w:snapToGrid/>
              <w:spacing w:line="240" w:lineRule="exact"/>
              <w:jc w:val="center"/>
              <w:rPr>
                <w:rFonts w:hint="eastAsia" w:ascii="宋体" w:hAnsi="宋体" w:eastAsia="宋体" w:cs="宋体"/>
                <w:i w:val="0"/>
                <w:iCs w:val="0"/>
                <w:color w:val="000000"/>
                <w:sz w:val="21"/>
                <w:szCs w:val="21"/>
                <w:u w:val="none"/>
              </w:rPr>
            </w:pPr>
          </w:p>
        </w:tc>
        <w:tc>
          <w:tcPr>
            <w:tcW w:w="321" w:type="pct"/>
            <w:tcBorders>
              <w:top w:val="single" w:color="DDDDDD" w:sz="4" w:space="0"/>
              <w:left w:val="single" w:color="DDDDDD" w:sz="4" w:space="0"/>
              <w:bottom w:val="single" w:color="DDDDDD" w:sz="4" w:space="0"/>
              <w:right w:val="single" w:color="DDDDDD" w:sz="4" w:space="0"/>
            </w:tcBorders>
            <w:shd w:val="clear" w:color="auto" w:fill="FFFFFF"/>
            <w:noWrap w:val="0"/>
            <w:vAlign w:val="center"/>
          </w:tcPr>
          <w:p>
            <w:pPr>
              <w:keepNext w:val="0"/>
              <w:keepLines w:val="0"/>
              <w:pageBreakBefore w:val="0"/>
              <w:widowControl/>
              <w:kinsoku/>
              <w:wordWrap/>
              <w:overflowPunct/>
              <w:topLinePunct w:val="0"/>
              <w:autoSpaceDE/>
              <w:autoSpaceDN/>
              <w:bidi w:val="0"/>
              <w:adjustRightInd/>
              <w:snapToGrid/>
              <w:spacing w:line="240" w:lineRule="exact"/>
              <w:jc w:val="center"/>
              <w:rPr>
                <w:rFonts w:hint="eastAsia" w:ascii="宋体" w:hAnsi="宋体" w:eastAsia="宋体" w:cs="宋体"/>
                <w:i w:val="0"/>
                <w:iCs w:val="0"/>
                <w:color w:val="000000"/>
                <w:sz w:val="21"/>
                <w:szCs w:val="21"/>
                <w:u w:val="none"/>
              </w:rPr>
            </w:pPr>
          </w:p>
        </w:tc>
        <w:tc>
          <w:tcPr>
            <w:tcW w:w="310" w:type="pct"/>
            <w:tcBorders>
              <w:top w:val="single" w:color="DDDDDD" w:sz="4" w:space="0"/>
              <w:left w:val="single" w:color="DDDDDD" w:sz="4" w:space="0"/>
              <w:bottom w:val="single" w:color="DDDDDD" w:sz="4" w:space="0"/>
              <w:right w:val="single" w:color="DDDDDD" w:sz="4" w:space="0"/>
            </w:tcBorders>
            <w:shd w:val="clear" w:color="auto" w:fill="FFFFFF"/>
            <w:noWrap w:val="0"/>
            <w:vAlign w:val="center"/>
          </w:tcPr>
          <w:p>
            <w:pPr>
              <w:keepNext w:val="0"/>
              <w:keepLines w:val="0"/>
              <w:pageBreakBefore w:val="0"/>
              <w:widowControl/>
              <w:kinsoku/>
              <w:wordWrap/>
              <w:overflowPunct/>
              <w:topLinePunct w:val="0"/>
              <w:autoSpaceDE/>
              <w:autoSpaceDN/>
              <w:bidi w:val="0"/>
              <w:adjustRightInd/>
              <w:snapToGrid/>
              <w:spacing w:line="240" w:lineRule="exact"/>
              <w:jc w:val="center"/>
              <w:rPr>
                <w:rFonts w:hint="eastAsia" w:ascii="宋体" w:hAnsi="宋体" w:eastAsia="宋体" w:cs="宋体"/>
                <w:i w:val="0"/>
                <w:iCs w:val="0"/>
                <w:color w:val="000000"/>
                <w:sz w:val="21"/>
                <w:szCs w:val="21"/>
                <w:u w:val="none"/>
              </w:rPr>
            </w:pPr>
          </w:p>
        </w:tc>
        <w:tc>
          <w:tcPr>
            <w:tcW w:w="310" w:type="pct"/>
            <w:tcBorders>
              <w:top w:val="single" w:color="DDDDDD" w:sz="4" w:space="0"/>
              <w:left w:val="single" w:color="DDDDDD" w:sz="4" w:space="0"/>
              <w:bottom w:val="single" w:color="DDDDDD" w:sz="4" w:space="0"/>
              <w:right w:val="single" w:color="DDDDDD" w:sz="4" w:space="0"/>
            </w:tcBorders>
            <w:shd w:val="clear" w:color="auto" w:fill="FFFFFF"/>
            <w:noWrap w:val="0"/>
            <w:vAlign w:val="center"/>
          </w:tcPr>
          <w:p>
            <w:pPr>
              <w:keepNext w:val="0"/>
              <w:keepLines w:val="0"/>
              <w:pageBreakBefore w:val="0"/>
              <w:widowControl/>
              <w:kinsoku/>
              <w:wordWrap/>
              <w:overflowPunct/>
              <w:topLinePunct w:val="0"/>
              <w:autoSpaceDE/>
              <w:autoSpaceDN/>
              <w:bidi w:val="0"/>
              <w:adjustRightInd/>
              <w:snapToGrid/>
              <w:spacing w:line="240" w:lineRule="exact"/>
              <w:jc w:val="center"/>
              <w:rPr>
                <w:rFonts w:hint="eastAsia" w:ascii="宋体" w:hAnsi="宋体" w:eastAsia="宋体" w:cs="宋体"/>
                <w:i w:val="0"/>
                <w:iCs w:val="0"/>
                <w:color w:val="000000"/>
                <w:sz w:val="21"/>
                <w:szCs w:val="21"/>
                <w:u w:val="none"/>
              </w:rPr>
            </w:pPr>
          </w:p>
        </w:tc>
        <w:tc>
          <w:tcPr>
            <w:tcW w:w="252" w:type="pct"/>
            <w:tcBorders>
              <w:top w:val="single" w:color="DDDDDD" w:sz="4" w:space="0"/>
              <w:left w:val="single" w:color="DDDDDD" w:sz="4" w:space="0"/>
              <w:bottom w:val="single" w:color="DDDDDD" w:sz="4" w:space="0"/>
              <w:right w:val="single" w:color="DDDDDD" w:sz="4" w:space="0"/>
            </w:tcBorders>
            <w:shd w:val="clear" w:color="auto" w:fill="FFFFFF"/>
            <w:noWrap w:val="0"/>
            <w:vAlign w:val="center"/>
          </w:tcPr>
          <w:p>
            <w:pPr>
              <w:keepNext w:val="0"/>
              <w:keepLines w:val="0"/>
              <w:pageBreakBefore w:val="0"/>
              <w:widowControl/>
              <w:kinsoku/>
              <w:wordWrap/>
              <w:overflowPunct/>
              <w:topLinePunct w:val="0"/>
              <w:autoSpaceDE/>
              <w:autoSpaceDN/>
              <w:bidi w:val="0"/>
              <w:adjustRightInd/>
              <w:snapToGrid/>
              <w:spacing w:line="240" w:lineRule="exact"/>
              <w:jc w:val="center"/>
              <w:rPr>
                <w:rFonts w:hint="eastAsia" w:ascii="宋体" w:hAnsi="宋体" w:eastAsia="宋体" w:cs="宋体"/>
                <w:i w:val="0"/>
                <w:iCs w:val="0"/>
                <w:color w:val="000000"/>
                <w:sz w:val="21"/>
                <w:szCs w:val="21"/>
                <w:u w:val="none"/>
              </w:rPr>
            </w:pPr>
          </w:p>
        </w:tc>
        <w:tc>
          <w:tcPr>
            <w:tcW w:w="573" w:type="pct"/>
            <w:tcBorders>
              <w:top w:val="single" w:color="DDDDDD" w:sz="4" w:space="0"/>
              <w:left w:val="single" w:color="DDDDDD" w:sz="4" w:space="0"/>
              <w:bottom w:val="single" w:color="DDDDDD" w:sz="4" w:space="0"/>
              <w:right w:val="single" w:color="DDDDDD" w:sz="4" w:space="0"/>
            </w:tcBorders>
            <w:shd w:val="clear" w:color="auto" w:fill="FFFFFF"/>
            <w:noWrap w:val="0"/>
            <w:vAlign w:val="center"/>
          </w:tcPr>
          <w:p>
            <w:pPr>
              <w:keepNext w:val="0"/>
              <w:keepLines w:val="0"/>
              <w:pageBreakBefore w:val="0"/>
              <w:widowControl/>
              <w:kinsoku/>
              <w:wordWrap/>
              <w:overflowPunct/>
              <w:topLinePunct w:val="0"/>
              <w:autoSpaceDE/>
              <w:autoSpaceDN/>
              <w:bidi w:val="0"/>
              <w:adjustRightInd/>
              <w:snapToGrid/>
              <w:spacing w:line="240" w:lineRule="exact"/>
              <w:rPr>
                <w:rFonts w:hint="eastAsia" w:ascii="宋体" w:hAnsi="宋体" w:eastAsia="宋体" w:cs="宋体"/>
                <w:i w:val="0"/>
                <w:iCs w:val="0"/>
                <w:color w:val="000000"/>
                <w:sz w:val="21"/>
                <w:szCs w:val="21"/>
                <w:u w:val="none"/>
              </w:rPr>
            </w:pPr>
          </w:p>
        </w:tc>
        <w:tc>
          <w:tcPr>
            <w:tcW w:w="246" w:type="pct"/>
            <w:tcBorders>
              <w:top w:val="single" w:color="DDDDDD" w:sz="4" w:space="0"/>
              <w:left w:val="single" w:color="DDDDDD" w:sz="4" w:space="0"/>
              <w:bottom w:val="single" w:color="DDDDDD" w:sz="4" w:space="0"/>
              <w:right w:val="single" w:color="DDDDDD" w:sz="4" w:space="0"/>
            </w:tcBorders>
            <w:shd w:val="clear" w:color="auto" w:fill="FFFFFF"/>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5</w:t>
            </w:r>
          </w:p>
        </w:tc>
        <w:tc>
          <w:tcPr>
            <w:tcW w:w="825" w:type="pct"/>
            <w:tcBorders>
              <w:top w:val="single" w:color="DDDDDD" w:sz="4" w:space="0"/>
              <w:left w:val="single" w:color="DDDDDD" w:sz="4" w:space="0"/>
              <w:bottom w:val="single" w:color="DDDDDD" w:sz="4" w:space="0"/>
              <w:right w:val="single" w:color="4684D3" w:sz="4" w:space="0"/>
            </w:tcBorders>
            <w:shd w:val="clear" w:color="auto" w:fill="FFFFFF"/>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院校的知名度和影响力持续扩大</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0" w:hRule="atLeast"/>
          <w:jc w:val="center"/>
        </w:trPr>
        <w:tc>
          <w:tcPr>
            <w:tcW w:w="302" w:type="pct"/>
            <w:vMerge w:val="continue"/>
            <w:tcBorders>
              <w:top w:val="single" w:color="DDDDDD" w:sz="4" w:space="0"/>
              <w:left w:val="single" w:color="4684D3" w:sz="4" w:space="0"/>
              <w:bottom w:val="single" w:color="DDDDDD" w:sz="4" w:space="0"/>
              <w:right w:val="single" w:color="DDDDDD" w:sz="4" w:space="0"/>
            </w:tcBorders>
            <w:shd w:val="clear" w:color="auto" w:fill="FFFFFF"/>
            <w:noWrap w:val="0"/>
            <w:vAlign w:val="center"/>
          </w:tcPr>
          <w:p>
            <w:pPr>
              <w:keepNext w:val="0"/>
              <w:keepLines w:val="0"/>
              <w:pageBreakBefore w:val="0"/>
              <w:widowControl/>
              <w:kinsoku/>
              <w:wordWrap/>
              <w:overflowPunct/>
              <w:topLinePunct w:val="0"/>
              <w:autoSpaceDE/>
              <w:autoSpaceDN/>
              <w:bidi w:val="0"/>
              <w:adjustRightInd/>
              <w:snapToGrid/>
              <w:spacing w:line="240" w:lineRule="exact"/>
              <w:jc w:val="center"/>
              <w:rPr>
                <w:rFonts w:hint="eastAsia" w:ascii="宋体" w:hAnsi="宋体" w:eastAsia="宋体" w:cs="宋体"/>
                <w:b/>
                <w:bCs/>
                <w:i w:val="0"/>
                <w:iCs w:val="0"/>
                <w:color w:val="000000"/>
                <w:sz w:val="21"/>
                <w:szCs w:val="21"/>
                <w:u w:val="none"/>
              </w:rPr>
            </w:pPr>
          </w:p>
        </w:tc>
        <w:tc>
          <w:tcPr>
            <w:tcW w:w="262" w:type="pct"/>
            <w:vMerge w:val="continue"/>
            <w:tcBorders>
              <w:top w:val="single" w:color="DDDDDD" w:sz="4" w:space="0"/>
              <w:left w:val="single" w:color="DDDDDD" w:sz="4" w:space="0"/>
              <w:bottom w:val="single" w:color="DDDDDD" w:sz="4" w:space="0"/>
              <w:right w:val="single" w:color="DDDDDD" w:sz="4" w:space="0"/>
            </w:tcBorders>
            <w:shd w:val="clear" w:color="auto" w:fill="FFFFFF"/>
            <w:noWrap w:val="0"/>
            <w:textDirection w:val="tbRlV"/>
            <w:vAlign w:val="center"/>
          </w:tcPr>
          <w:p>
            <w:pPr>
              <w:keepNext w:val="0"/>
              <w:keepLines w:val="0"/>
              <w:pageBreakBefore w:val="0"/>
              <w:widowControl/>
              <w:kinsoku/>
              <w:wordWrap/>
              <w:overflowPunct/>
              <w:topLinePunct w:val="0"/>
              <w:autoSpaceDE/>
              <w:autoSpaceDN/>
              <w:bidi w:val="0"/>
              <w:adjustRightInd/>
              <w:snapToGrid/>
              <w:spacing w:line="240" w:lineRule="exact"/>
              <w:jc w:val="center"/>
              <w:rPr>
                <w:rFonts w:hint="eastAsia" w:ascii="宋体" w:hAnsi="宋体" w:eastAsia="宋体" w:cs="宋体"/>
                <w:b/>
                <w:bCs/>
                <w:i w:val="0"/>
                <w:iCs w:val="0"/>
                <w:color w:val="000000"/>
                <w:sz w:val="21"/>
                <w:szCs w:val="21"/>
                <w:u w:val="none"/>
              </w:rPr>
            </w:pPr>
          </w:p>
        </w:tc>
        <w:tc>
          <w:tcPr>
            <w:tcW w:w="257" w:type="pct"/>
            <w:tcBorders>
              <w:top w:val="single" w:color="DDDDDD" w:sz="4" w:space="0"/>
              <w:left w:val="single" w:color="DDDDDD" w:sz="4" w:space="0"/>
              <w:bottom w:val="single" w:color="DDDDDD" w:sz="4" w:space="0"/>
              <w:right w:val="single" w:color="DDDDDD" w:sz="4" w:space="0"/>
            </w:tcBorders>
            <w:shd w:val="clear" w:color="auto" w:fill="FFFFFF"/>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社会效益</w:t>
            </w:r>
          </w:p>
        </w:tc>
        <w:tc>
          <w:tcPr>
            <w:tcW w:w="413" w:type="pct"/>
            <w:tcBorders>
              <w:top w:val="single" w:color="DDDDDD" w:sz="4" w:space="0"/>
              <w:left w:val="single" w:color="DDDDDD" w:sz="4" w:space="0"/>
              <w:bottom w:val="single" w:color="DDDDDD" w:sz="4" w:space="0"/>
              <w:right w:val="single" w:color="DDDDDD" w:sz="4" w:space="0"/>
            </w:tcBorders>
            <w:shd w:val="clear" w:color="auto" w:fill="FFFFFF"/>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教学研究水平持续提升</w:t>
            </w:r>
          </w:p>
        </w:tc>
        <w:tc>
          <w:tcPr>
            <w:tcW w:w="418" w:type="pct"/>
            <w:tcBorders>
              <w:top w:val="single" w:color="DDDDDD" w:sz="4" w:space="0"/>
              <w:left w:val="single" w:color="DDDDDD" w:sz="4" w:space="0"/>
              <w:bottom w:val="single" w:color="DDDDDD" w:sz="4" w:space="0"/>
              <w:right w:val="single" w:color="DDDDDD" w:sz="4" w:space="0"/>
            </w:tcBorders>
            <w:shd w:val="clear" w:color="auto" w:fill="FFFFFF"/>
            <w:noWrap w:val="0"/>
            <w:vAlign w:val="center"/>
          </w:tcPr>
          <w:p>
            <w:pPr>
              <w:keepNext w:val="0"/>
              <w:keepLines w:val="0"/>
              <w:pageBreakBefore w:val="0"/>
              <w:widowControl/>
              <w:kinsoku/>
              <w:wordWrap/>
              <w:overflowPunct/>
              <w:topLinePunct w:val="0"/>
              <w:autoSpaceDE/>
              <w:autoSpaceDN/>
              <w:bidi w:val="0"/>
              <w:adjustRightInd/>
              <w:snapToGrid/>
              <w:spacing w:line="240" w:lineRule="exact"/>
              <w:jc w:val="center"/>
              <w:rPr>
                <w:rFonts w:hint="eastAsia" w:ascii="宋体" w:hAnsi="宋体" w:eastAsia="宋体" w:cs="宋体"/>
                <w:i w:val="0"/>
                <w:iCs w:val="0"/>
                <w:color w:val="000000"/>
                <w:sz w:val="21"/>
                <w:szCs w:val="21"/>
                <w:u w:val="none"/>
              </w:rPr>
            </w:pPr>
          </w:p>
        </w:tc>
        <w:tc>
          <w:tcPr>
            <w:tcW w:w="250" w:type="pct"/>
            <w:tcBorders>
              <w:top w:val="single" w:color="DDDDDD" w:sz="4" w:space="0"/>
              <w:left w:val="single" w:color="DDDDDD" w:sz="4" w:space="0"/>
              <w:bottom w:val="single" w:color="DDDDDD" w:sz="4" w:space="0"/>
              <w:right w:val="single" w:color="DDDDDD" w:sz="4" w:space="0"/>
            </w:tcBorders>
            <w:shd w:val="clear" w:color="auto" w:fill="FFFFFF"/>
            <w:noWrap w:val="0"/>
            <w:vAlign w:val="center"/>
          </w:tcPr>
          <w:p>
            <w:pPr>
              <w:keepNext w:val="0"/>
              <w:keepLines w:val="0"/>
              <w:pageBreakBefore w:val="0"/>
              <w:widowControl/>
              <w:kinsoku/>
              <w:wordWrap/>
              <w:overflowPunct/>
              <w:topLinePunct w:val="0"/>
              <w:autoSpaceDE/>
              <w:autoSpaceDN/>
              <w:bidi w:val="0"/>
              <w:adjustRightInd/>
              <w:snapToGrid/>
              <w:spacing w:line="240" w:lineRule="exact"/>
              <w:jc w:val="center"/>
              <w:rPr>
                <w:rFonts w:hint="eastAsia" w:ascii="宋体" w:hAnsi="宋体" w:eastAsia="宋体" w:cs="宋体"/>
                <w:i w:val="0"/>
                <w:iCs w:val="0"/>
                <w:color w:val="000000"/>
                <w:sz w:val="21"/>
                <w:szCs w:val="21"/>
                <w:u w:val="none"/>
              </w:rPr>
            </w:pPr>
          </w:p>
        </w:tc>
        <w:tc>
          <w:tcPr>
            <w:tcW w:w="256" w:type="pct"/>
            <w:tcBorders>
              <w:top w:val="single" w:color="DDDDDD" w:sz="4" w:space="0"/>
              <w:left w:val="single" w:color="DDDDDD" w:sz="4" w:space="0"/>
              <w:bottom w:val="single" w:color="DDDDDD" w:sz="4" w:space="0"/>
              <w:right w:val="single" w:color="DDDDDD" w:sz="4" w:space="0"/>
            </w:tcBorders>
            <w:shd w:val="clear" w:color="auto" w:fill="FFFFFF"/>
            <w:noWrap w:val="0"/>
            <w:vAlign w:val="center"/>
          </w:tcPr>
          <w:p>
            <w:pPr>
              <w:keepNext w:val="0"/>
              <w:keepLines w:val="0"/>
              <w:pageBreakBefore w:val="0"/>
              <w:widowControl/>
              <w:kinsoku/>
              <w:wordWrap/>
              <w:overflowPunct/>
              <w:topLinePunct w:val="0"/>
              <w:autoSpaceDE/>
              <w:autoSpaceDN/>
              <w:bidi w:val="0"/>
              <w:adjustRightInd/>
              <w:snapToGrid/>
              <w:spacing w:line="240" w:lineRule="exact"/>
              <w:jc w:val="center"/>
              <w:rPr>
                <w:rFonts w:hint="eastAsia" w:ascii="宋体" w:hAnsi="宋体" w:eastAsia="宋体" w:cs="宋体"/>
                <w:i w:val="0"/>
                <w:iCs w:val="0"/>
                <w:color w:val="000000"/>
                <w:sz w:val="21"/>
                <w:szCs w:val="21"/>
                <w:u w:val="none"/>
              </w:rPr>
            </w:pPr>
          </w:p>
        </w:tc>
        <w:tc>
          <w:tcPr>
            <w:tcW w:w="321" w:type="pct"/>
            <w:tcBorders>
              <w:top w:val="single" w:color="DDDDDD" w:sz="4" w:space="0"/>
              <w:left w:val="single" w:color="DDDDDD" w:sz="4" w:space="0"/>
              <w:bottom w:val="single" w:color="DDDDDD" w:sz="4" w:space="0"/>
              <w:right w:val="single" w:color="DDDDDD" w:sz="4" w:space="0"/>
            </w:tcBorders>
            <w:shd w:val="clear" w:color="auto" w:fill="FFFFFF"/>
            <w:noWrap w:val="0"/>
            <w:vAlign w:val="center"/>
          </w:tcPr>
          <w:p>
            <w:pPr>
              <w:keepNext w:val="0"/>
              <w:keepLines w:val="0"/>
              <w:pageBreakBefore w:val="0"/>
              <w:widowControl/>
              <w:kinsoku/>
              <w:wordWrap/>
              <w:overflowPunct/>
              <w:topLinePunct w:val="0"/>
              <w:autoSpaceDE/>
              <w:autoSpaceDN/>
              <w:bidi w:val="0"/>
              <w:adjustRightInd/>
              <w:snapToGrid/>
              <w:spacing w:line="240" w:lineRule="exact"/>
              <w:jc w:val="center"/>
              <w:rPr>
                <w:rFonts w:hint="eastAsia" w:ascii="宋体" w:hAnsi="宋体" w:eastAsia="宋体" w:cs="宋体"/>
                <w:i w:val="0"/>
                <w:iCs w:val="0"/>
                <w:color w:val="000000"/>
                <w:sz w:val="21"/>
                <w:szCs w:val="21"/>
                <w:u w:val="none"/>
              </w:rPr>
            </w:pPr>
          </w:p>
        </w:tc>
        <w:tc>
          <w:tcPr>
            <w:tcW w:w="310" w:type="pct"/>
            <w:tcBorders>
              <w:top w:val="single" w:color="DDDDDD" w:sz="4" w:space="0"/>
              <w:left w:val="single" w:color="DDDDDD" w:sz="4" w:space="0"/>
              <w:bottom w:val="single" w:color="DDDDDD" w:sz="4" w:space="0"/>
              <w:right w:val="single" w:color="DDDDDD" w:sz="4" w:space="0"/>
            </w:tcBorders>
            <w:shd w:val="clear" w:color="auto" w:fill="FFFFFF"/>
            <w:noWrap w:val="0"/>
            <w:vAlign w:val="center"/>
          </w:tcPr>
          <w:p>
            <w:pPr>
              <w:keepNext w:val="0"/>
              <w:keepLines w:val="0"/>
              <w:pageBreakBefore w:val="0"/>
              <w:widowControl/>
              <w:kinsoku/>
              <w:wordWrap/>
              <w:overflowPunct/>
              <w:topLinePunct w:val="0"/>
              <w:autoSpaceDE/>
              <w:autoSpaceDN/>
              <w:bidi w:val="0"/>
              <w:adjustRightInd/>
              <w:snapToGrid/>
              <w:spacing w:line="240" w:lineRule="exact"/>
              <w:jc w:val="center"/>
              <w:rPr>
                <w:rFonts w:hint="eastAsia" w:ascii="宋体" w:hAnsi="宋体" w:eastAsia="宋体" w:cs="宋体"/>
                <w:i w:val="0"/>
                <w:iCs w:val="0"/>
                <w:color w:val="000000"/>
                <w:sz w:val="21"/>
                <w:szCs w:val="21"/>
                <w:u w:val="none"/>
              </w:rPr>
            </w:pPr>
          </w:p>
        </w:tc>
        <w:tc>
          <w:tcPr>
            <w:tcW w:w="310" w:type="pct"/>
            <w:tcBorders>
              <w:top w:val="single" w:color="DDDDDD" w:sz="4" w:space="0"/>
              <w:left w:val="single" w:color="DDDDDD" w:sz="4" w:space="0"/>
              <w:bottom w:val="single" w:color="DDDDDD" w:sz="4" w:space="0"/>
              <w:right w:val="single" w:color="DDDDDD" w:sz="4" w:space="0"/>
            </w:tcBorders>
            <w:shd w:val="clear" w:color="auto" w:fill="FFFFFF"/>
            <w:noWrap w:val="0"/>
            <w:vAlign w:val="center"/>
          </w:tcPr>
          <w:p>
            <w:pPr>
              <w:keepNext w:val="0"/>
              <w:keepLines w:val="0"/>
              <w:pageBreakBefore w:val="0"/>
              <w:widowControl/>
              <w:kinsoku/>
              <w:wordWrap/>
              <w:overflowPunct/>
              <w:topLinePunct w:val="0"/>
              <w:autoSpaceDE/>
              <w:autoSpaceDN/>
              <w:bidi w:val="0"/>
              <w:adjustRightInd/>
              <w:snapToGrid/>
              <w:spacing w:line="240" w:lineRule="exact"/>
              <w:jc w:val="center"/>
              <w:rPr>
                <w:rFonts w:hint="eastAsia" w:ascii="宋体" w:hAnsi="宋体" w:eastAsia="宋体" w:cs="宋体"/>
                <w:i w:val="0"/>
                <w:iCs w:val="0"/>
                <w:color w:val="000000"/>
                <w:sz w:val="21"/>
                <w:szCs w:val="21"/>
                <w:u w:val="none"/>
              </w:rPr>
            </w:pPr>
          </w:p>
        </w:tc>
        <w:tc>
          <w:tcPr>
            <w:tcW w:w="252" w:type="pct"/>
            <w:tcBorders>
              <w:top w:val="single" w:color="DDDDDD" w:sz="4" w:space="0"/>
              <w:left w:val="single" w:color="DDDDDD" w:sz="4" w:space="0"/>
              <w:bottom w:val="single" w:color="DDDDDD" w:sz="4" w:space="0"/>
              <w:right w:val="single" w:color="DDDDDD" w:sz="4" w:space="0"/>
            </w:tcBorders>
            <w:shd w:val="clear" w:color="auto" w:fill="FFFFFF"/>
            <w:noWrap w:val="0"/>
            <w:vAlign w:val="center"/>
          </w:tcPr>
          <w:p>
            <w:pPr>
              <w:keepNext w:val="0"/>
              <w:keepLines w:val="0"/>
              <w:pageBreakBefore w:val="0"/>
              <w:widowControl/>
              <w:kinsoku/>
              <w:wordWrap/>
              <w:overflowPunct/>
              <w:topLinePunct w:val="0"/>
              <w:autoSpaceDE/>
              <w:autoSpaceDN/>
              <w:bidi w:val="0"/>
              <w:adjustRightInd/>
              <w:snapToGrid/>
              <w:spacing w:line="240" w:lineRule="exact"/>
              <w:jc w:val="center"/>
              <w:rPr>
                <w:rFonts w:hint="eastAsia" w:ascii="宋体" w:hAnsi="宋体" w:eastAsia="宋体" w:cs="宋体"/>
                <w:i w:val="0"/>
                <w:iCs w:val="0"/>
                <w:color w:val="000000"/>
                <w:sz w:val="21"/>
                <w:szCs w:val="21"/>
                <w:u w:val="none"/>
              </w:rPr>
            </w:pPr>
          </w:p>
        </w:tc>
        <w:tc>
          <w:tcPr>
            <w:tcW w:w="573" w:type="pct"/>
            <w:tcBorders>
              <w:top w:val="single" w:color="DDDDDD" w:sz="4" w:space="0"/>
              <w:left w:val="single" w:color="DDDDDD" w:sz="4" w:space="0"/>
              <w:bottom w:val="single" w:color="DDDDDD" w:sz="4" w:space="0"/>
              <w:right w:val="single" w:color="DDDDDD" w:sz="4" w:space="0"/>
            </w:tcBorders>
            <w:shd w:val="clear" w:color="auto" w:fill="FFFFFF"/>
            <w:noWrap w:val="0"/>
            <w:vAlign w:val="center"/>
          </w:tcPr>
          <w:p>
            <w:pPr>
              <w:keepNext w:val="0"/>
              <w:keepLines w:val="0"/>
              <w:pageBreakBefore w:val="0"/>
              <w:widowControl/>
              <w:kinsoku/>
              <w:wordWrap/>
              <w:overflowPunct/>
              <w:topLinePunct w:val="0"/>
              <w:autoSpaceDE/>
              <w:autoSpaceDN/>
              <w:bidi w:val="0"/>
              <w:adjustRightInd/>
              <w:snapToGrid/>
              <w:spacing w:line="240" w:lineRule="exact"/>
              <w:jc w:val="center"/>
              <w:rPr>
                <w:rFonts w:hint="eastAsia" w:ascii="宋体" w:hAnsi="宋体" w:eastAsia="宋体" w:cs="宋体"/>
                <w:i w:val="0"/>
                <w:iCs w:val="0"/>
                <w:color w:val="000000"/>
                <w:sz w:val="21"/>
                <w:szCs w:val="21"/>
                <w:u w:val="none"/>
              </w:rPr>
            </w:pPr>
          </w:p>
        </w:tc>
        <w:tc>
          <w:tcPr>
            <w:tcW w:w="246" w:type="pct"/>
            <w:tcBorders>
              <w:top w:val="single" w:color="DDDDDD" w:sz="4" w:space="0"/>
              <w:left w:val="single" w:color="DDDDDD" w:sz="4" w:space="0"/>
              <w:bottom w:val="single" w:color="DDDDDD" w:sz="4" w:space="0"/>
              <w:right w:val="single" w:color="DDDDDD" w:sz="4" w:space="0"/>
            </w:tcBorders>
            <w:shd w:val="clear" w:color="auto" w:fill="FFFFFF"/>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5</w:t>
            </w:r>
          </w:p>
        </w:tc>
        <w:tc>
          <w:tcPr>
            <w:tcW w:w="825" w:type="pct"/>
            <w:tcBorders>
              <w:top w:val="single" w:color="DDDDDD" w:sz="4" w:space="0"/>
              <w:left w:val="single" w:color="DDDDDD" w:sz="4" w:space="0"/>
              <w:bottom w:val="single" w:color="DDDDDD" w:sz="4" w:space="0"/>
              <w:right w:val="single" w:color="4684D3" w:sz="4" w:space="0"/>
            </w:tcBorders>
            <w:shd w:val="clear" w:color="auto" w:fill="FFFFFF"/>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教学研究水平持续提升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0" w:hRule="atLeast"/>
          <w:jc w:val="center"/>
        </w:trPr>
        <w:tc>
          <w:tcPr>
            <w:tcW w:w="302" w:type="pct"/>
            <w:tcBorders>
              <w:top w:val="single" w:color="DDDDDD" w:sz="4" w:space="0"/>
              <w:left w:val="single" w:color="4684D3" w:sz="4" w:space="0"/>
              <w:bottom w:val="single" w:color="DDDDDD" w:sz="4" w:space="0"/>
              <w:right w:val="single" w:color="DDDDDD" w:sz="4" w:space="0"/>
            </w:tcBorders>
            <w:shd w:val="clear" w:color="auto" w:fill="FFFFFF"/>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b/>
                <w:bCs/>
                <w:i w:val="0"/>
                <w:iCs w:val="0"/>
                <w:color w:val="000000"/>
                <w:sz w:val="21"/>
                <w:szCs w:val="21"/>
                <w:u w:val="none"/>
              </w:rPr>
            </w:pPr>
            <w:r>
              <w:rPr>
                <w:rFonts w:hint="eastAsia" w:ascii="宋体" w:hAnsi="宋体" w:eastAsia="宋体" w:cs="宋体"/>
                <w:b/>
                <w:bCs/>
                <w:i w:val="0"/>
                <w:iCs w:val="0"/>
                <w:color w:val="000000"/>
                <w:kern w:val="0"/>
                <w:sz w:val="21"/>
                <w:szCs w:val="21"/>
                <w:u w:val="none"/>
                <w:lang w:val="en-US" w:eastAsia="zh-CN" w:bidi="ar"/>
              </w:rPr>
              <w:t>6%</w:t>
            </w:r>
          </w:p>
        </w:tc>
        <w:tc>
          <w:tcPr>
            <w:tcW w:w="262" w:type="pct"/>
            <w:vMerge w:val="continue"/>
            <w:tcBorders>
              <w:top w:val="single" w:color="DDDDDD" w:sz="4" w:space="0"/>
              <w:left w:val="single" w:color="DDDDDD" w:sz="4" w:space="0"/>
              <w:bottom w:val="single" w:color="DDDDDD" w:sz="4" w:space="0"/>
              <w:right w:val="single" w:color="DDDDDD" w:sz="4" w:space="0"/>
            </w:tcBorders>
            <w:shd w:val="clear" w:color="auto" w:fill="FFFFFF"/>
            <w:noWrap w:val="0"/>
            <w:textDirection w:val="tbRlV"/>
            <w:vAlign w:val="center"/>
          </w:tcPr>
          <w:p>
            <w:pPr>
              <w:keepNext w:val="0"/>
              <w:keepLines w:val="0"/>
              <w:pageBreakBefore w:val="0"/>
              <w:widowControl/>
              <w:kinsoku/>
              <w:wordWrap/>
              <w:overflowPunct/>
              <w:topLinePunct w:val="0"/>
              <w:autoSpaceDE/>
              <w:autoSpaceDN/>
              <w:bidi w:val="0"/>
              <w:adjustRightInd/>
              <w:snapToGrid/>
              <w:spacing w:line="240" w:lineRule="exact"/>
              <w:jc w:val="center"/>
              <w:rPr>
                <w:rFonts w:hint="eastAsia" w:ascii="宋体" w:hAnsi="宋体" w:eastAsia="宋体" w:cs="宋体"/>
                <w:b/>
                <w:bCs/>
                <w:i w:val="0"/>
                <w:iCs w:val="0"/>
                <w:color w:val="000000"/>
                <w:sz w:val="21"/>
                <w:szCs w:val="21"/>
                <w:u w:val="none"/>
              </w:rPr>
            </w:pPr>
          </w:p>
        </w:tc>
        <w:tc>
          <w:tcPr>
            <w:tcW w:w="257" w:type="pct"/>
            <w:tcBorders>
              <w:top w:val="single" w:color="DDDDDD" w:sz="4" w:space="0"/>
              <w:left w:val="single" w:color="DDDDDD" w:sz="4" w:space="0"/>
              <w:bottom w:val="single" w:color="DDDDDD" w:sz="4" w:space="0"/>
              <w:right w:val="single" w:color="DDDDDD" w:sz="4" w:space="0"/>
            </w:tcBorders>
            <w:shd w:val="clear" w:color="auto" w:fill="FFFFFF"/>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公平公正</w:t>
            </w:r>
          </w:p>
        </w:tc>
        <w:tc>
          <w:tcPr>
            <w:tcW w:w="413" w:type="pct"/>
            <w:tcBorders>
              <w:top w:val="single" w:color="DDDDDD" w:sz="4" w:space="0"/>
              <w:left w:val="single" w:color="DDDDDD" w:sz="4" w:space="0"/>
              <w:bottom w:val="single" w:color="DDDDDD" w:sz="4" w:space="0"/>
              <w:right w:val="single" w:color="DDDDDD" w:sz="4" w:space="0"/>
            </w:tcBorders>
            <w:shd w:val="clear" w:color="auto" w:fill="FFFFFF"/>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培训规模持续扩大</w:t>
            </w:r>
          </w:p>
        </w:tc>
        <w:tc>
          <w:tcPr>
            <w:tcW w:w="418" w:type="pct"/>
            <w:tcBorders>
              <w:top w:val="single" w:color="DDDDDD" w:sz="4" w:space="0"/>
              <w:left w:val="single" w:color="DDDDDD" w:sz="4" w:space="0"/>
              <w:bottom w:val="single" w:color="DDDDDD" w:sz="4" w:space="0"/>
              <w:right w:val="single" w:color="DDDDDD" w:sz="4" w:space="0"/>
            </w:tcBorders>
            <w:shd w:val="clear" w:color="auto" w:fill="FFFFFF"/>
            <w:noWrap w:val="0"/>
            <w:vAlign w:val="center"/>
          </w:tcPr>
          <w:p>
            <w:pPr>
              <w:keepNext w:val="0"/>
              <w:keepLines w:val="0"/>
              <w:pageBreakBefore w:val="0"/>
              <w:widowControl/>
              <w:kinsoku/>
              <w:wordWrap/>
              <w:overflowPunct/>
              <w:topLinePunct w:val="0"/>
              <w:autoSpaceDE/>
              <w:autoSpaceDN/>
              <w:bidi w:val="0"/>
              <w:adjustRightInd/>
              <w:snapToGrid/>
              <w:spacing w:line="240" w:lineRule="exact"/>
              <w:jc w:val="center"/>
              <w:rPr>
                <w:rFonts w:hint="eastAsia" w:ascii="宋体" w:hAnsi="宋体" w:eastAsia="宋体" w:cs="宋体"/>
                <w:i w:val="0"/>
                <w:iCs w:val="0"/>
                <w:color w:val="000000"/>
                <w:sz w:val="21"/>
                <w:szCs w:val="21"/>
                <w:u w:val="none"/>
              </w:rPr>
            </w:pPr>
          </w:p>
        </w:tc>
        <w:tc>
          <w:tcPr>
            <w:tcW w:w="250" w:type="pct"/>
            <w:tcBorders>
              <w:top w:val="single" w:color="DDDDDD" w:sz="4" w:space="0"/>
              <w:left w:val="single" w:color="DDDDDD" w:sz="4" w:space="0"/>
              <w:bottom w:val="single" w:color="DDDDDD" w:sz="4" w:space="0"/>
              <w:right w:val="single" w:color="DDDDDD" w:sz="4" w:space="0"/>
            </w:tcBorders>
            <w:shd w:val="clear" w:color="auto" w:fill="FFFFFF"/>
            <w:noWrap w:val="0"/>
            <w:vAlign w:val="center"/>
          </w:tcPr>
          <w:p>
            <w:pPr>
              <w:keepNext w:val="0"/>
              <w:keepLines w:val="0"/>
              <w:pageBreakBefore w:val="0"/>
              <w:widowControl/>
              <w:kinsoku/>
              <w:wordWrap/>
              <w:overflowPunct/>
              <w:topLinePunct w:val="0"/>
              <w:autoSpaceDE/>
              <w:autoSpaceDN/>
              <w:bidi w:val="0"/>
              <w:adjustRightInd/>
              <w:snapToGrid/>
              <w:spacing w:line="240" w:lineRule="exact"/>
              <w:jc w:val="center"/>
              <w:rPr>
                <w:rFonts w:hint="eastAsia" w:ascii="宋体" w:hAnsi="宋体" w:eastAsia="宋体" w:cs="宋体"/>
                <w:i w:val="0"/>
                <w:iCs w:val="0"/>
                <w:color w:val="000000"/>
                <w:sz w:val="21"/>
                <w:szCs w:val="21"/>
                <w:u w:val="none"/>
              </w:rPr>
            </w:pPr>
          </w:p>
        </w:tc>
        <w:tc>
          <w:tcPr>
            <w:tcW w:w="256" w:type="pct"/>
            <w:tcBorders>
              <w:top w:val="single" w:color="DDDDDD" w:sz="4" w:space="0"/>
              <w:left w:val="single" w:color="DDDDDD" w:sz="4" w:space="0"/>
              <w:bottom w:val="single" w:color="DDDDDD" w:sz="4" w:space="0"/>
              <w:right w:val="single" w:color="DDDDDD" w:sz="4" w:space="0"/>
            </w:tcBorders>
            <w:shd w:val="clear" w:color="auto" w:fill="FFFFFF"/>
            <w:noWrap w:val="0"/>
            <w:vAlign w:val="center"/>
          </w:tcPr>
          <w:p>
            <w:pPr>
              <w:keepNext w:val="0"/>
              <w:keepLines w:val="0"/>
              <w:pageBreakBefore w:val="0"/>
              <w:widowControl/>
              <w:kinsoku/>
              <w:wordWrap/>
              <w:overflowPunct/>
              <w:topLinePunct w:val="0"/>
              <w:autoSpaceDE/>
              <w:autoSpaceDN/>
              <w:bidi w:val="0"/>
              <w:adjustRightInd/>
              <w:snapToGrid/>
              <w:spacing w:line="240" w:lineRule="exact"/>
              <w:jc w:val="center"/>
              <w:rPr>
                <w:rFonts w:hint="eastAsia" w:ascii="宋体" w:hAnsi="宋体" w:eastAsia="宋体" w:cs="宋体"/>
                <w:i w:val="0"/>
                <w:iCs w:val="0"/>
                <w:color w:val="000000"/>
                <w:sz w:val="21"/>
                <w:szCs w:val="21"/>
                <w:u w:val="none"/>
              </w:rPr>
            </w:pPr>
          </w:p>
        </w:tc>
        <w:tc>
          <w:tcPr>
            <w:tcW w:w="321" w:type="pct"/>
            <w:tcBorders>
              <w:top w:val="single" w:color="DDDDDD" w:sz="4" w:space="0"/>
              <w:left w:val="single" w:color="DDDDDD" w:sz="4" w:space="0"/>
              <w:bottom w:val="single" w:color="DDDDDD" w:sz="4" w:space="0"/>
              <w:right w:val="single" w:color="DDDDDD" w:sz="4" w:space="0"/>
            </w:tcBorders>
            <w:shd w:val="clear" w:color="auto" w:fill="FFFFFF"/>
            <w:noWrap w:val="0"/>
            <w:vAlign w:val="center"/>
          </w:tcPr>
          <w:p>
            <w:pPr>
              <w:keepNext w:val="0"/>
              <w:keepLines w:val="0"/>
              <w:pageBreakBefore w:val="0"/>
              <w:widowControl/>
              <w:kinsoku/>
              <w:wordWrap/>
              <w:overflowPunct/>
              <w:topLinePunct w:val="0"/>
              <w:autoSpaceDE/>
              <w:autoSpaceDN/>
              <w:bidi w:val="0"/>
              <w:adjustRightInd/>
              <w:snapToGrid/>
              <w:spacing w:line="240" w:lineRule="exact"/>
              <w:jc w:val="center"/>
              <w:rPr>
                <w:rFonts w:hint="eastAsia" w:ascii="宋体" w:hAnsi="宋体" w:eastAsia="宋体" w:cs="宋体"/>
                <w:i w:val="0"/>
                <w:iCs w:val="0"/>
                <w:color w:val="000000"/>
                <w:sz w:val="21"/>
                <w:szCs w:val="21"/>
                <w:u w:val="none"/>
              </w:rPr>
            </w:pPr>
          </w:p>
        </w:tc>
        <w:tc>
          <w:tcPr>
            <w:tcW w:w="310" w:type="pct"/>
            <w:tcBorders>
              <w:top w:val="single" w:color="DDDDDD" w:sz="4" w:space="0"/>
              <w:left w:val="single" w:color="DDDDDD" w:sz="4" w:space="0"/>
              <w:bottom w:val="single" w:color="DDDDDD" w:sz="4" w:space="0"/>
              <w:right w:val="single" w:color="DDDDDD" w:sz="4" w:space="0"/>
            </w:tcBorders>
            <w:shd w:val="clear" w:color="auto" w:fill="FFFFFF"/>
            <w:noWrap w:val="0"/>
            <w:vAlign w:val="center"/>
          </w:tcPr>
          <w:p>
            <w:pPr>
              <w:keepNext w:val="0"/>
              <w:keepLines w:val="0"/>
              <w:pageBreakBefore w:val="0"/>
              <w:widowControl/>
              <w:kinsoku/>
              <w:wordWrap/>
              <w:overflowPunct/>
              <w:topLinePunct w:val="0"/>
              <w:autoSpaceDE/>
              <w:autoSpaceDN/>
              <w:bidi w:val="0"/>
              <w:adjustRightInd/>
              <w:snapToGrid/>
              <w:spacing w:line="240" w:lineRule="exact"/>
              <w:jc w:val="center"/>
              <w:rPr>
                <w:rFonts w:hint="eastAsia" w:ascii="宋体" w:hAnsi="宋体" w:eastAsia="宋体" w:cs="宋体"/>
                <w:i w:val="0"/>
                <w:iCs w:val="0"/>
                <w:color w:val="000000"/>
                <w:sz w:val="21"/>
                <w:szCs w:val="21"/>
                <w:u w:val="none"/>
              </w:rPr>
            </w:pPr>
          </w:p>
        </w:tc>
        <w:tc>
          <w:tcPr>
            <w:tcW w:w="310" w:type="pct"/>
            <w:tcBorders>
              <w:top w:val="single" w:color="DDDDDD" w:sz="4" w:space="0"/>
              <w:left w:val="single" w:color="DDDDDD" w:sz="4" w:space="0"/>
              <w:bottom w:val="single" w:color="DDDDDD" w:sz="4" w:space="0"/>
              <w:right w:val="single" w:color="DDDDDD" w:sz="4" w:space="0"/>
            </w:tcBorders>
            <w:shd w:val="clear" w:color="auto" w:fill="FFFFFF"/>
            <w:noWrap w:val="0"/>
            <w:vAlign w:val="center"/>
          </w:tcPr>
          <w:p>
            <w:pPr>
              <w:keepNext w:val="0"/>
              <w:keepLines w:val="0"/>
              <w:pageBreakBefore w:val="0"/>
              <w:widowControl/>
              <w:kinsoku/>
              <w:wordWrap/>
              <w:overflowPunct/>
              <w:topLinePunct w:val="0"/>
              <w:autoSpaceDE/>
              <w:autoSpaceDN/>
              <w:bidi w:val="0"/>
              <w:adjustRightInd/>
              <w:snapToGrid/>
              <w:spacing w:line="240" w:lineRule="exact"/>
              <w:jc w:val="center"/>
              <w:rPr>
                <w:rFonts w:hint="eastAsia" w:ascii="宋体" w:hAnsi="宋体" w:eastAsia="宋体" w:cs="宋体"/>
                <w:i w:val="0"/>
                <w:iCs w:val="0"/>
                <w:color w:val="000000"/>
                <w:sz w:val="21"/>
                <w:szCs w:val="21"/>
                <w:u w:val="none"/>
              </w:rPr>
            </w:pPr>
          </w:p>
        </w:tc>
        <w:tc>
          <w:tcPr>
            <w:tcW w:w="252" w:type="pct"/>
            <w:tcBorders>
              <w:top w:val="single" w:color="DDDDDD" w:sz="4" w:space="0"/>
              <w:left w:val="single" w:color="DDDDDD" w:sz="4" w:space="0"/>
              <w:bottom w:val="single" w:color="DDDDDD" w:sz="4" w:space="0"/>
              <w:right w:val="single" w:color="DDDDDD" w:sz="4" w:space="0"/>
            </w:tcBorders>
            <w:shd w:val="clear" w:color="auto" w:fill="FFFFFF"/>
            <w:noWrap w:val="0"/>
            <w:vAlign w:val="center"/>
          </w:tcPr>
          <w:p>
            <w:pPr>
              <w:keepNext w:val="0"/>
              <w:keepLines w:val="0"/>
              <w:pageBreakBefore w:val="0"/>
              <w:widowControl/>
              <w:kinsoku/>
              <w:wordWrap/>
              <w:overflowPunct/>
              <w:topLinePunct w:val="0"/>
              <w:autoSpaceDE/>
              <w:autoSpaceDN/>
              <w:bidi w:val="0"/>
              <w:adjustRightInd/>
              <w:snapToGrid/>
              <w:spacing w:line="240" w:lineRule="exact"/>
              <w:jc w:val="center"/>
              <w:rPr>
                <w:rFonts w:hint="eastAsia" w:ascii="宋体" w:hAnsi="宋体" w:eastAsia="宋体" w:cs="宋体"/>
                <w:i w:val="0"/>
                <w:iCs w:val="0"/>
                <w:color w:val="000000"/>
                <w:sz w:val="21"/>
                <w:szCs w:val="21"/>
                <w:u w:val="none"/>
              </w:rPr>
            </w:pPr>
          </w:p>
        </w:tc>
        <w:tc>
          <w:tcPr>
            <w:tcW w:w="573" w:type="pct"/>
            <w:tcBorders>
              <w:top w:val="single" w:color="DDDDDD" w:sz="4" w:space="0"/>
              <w:left w:val="single" w:color="DDDDDD" w:sz="4" w:space="0"/>
              <w:bottom w:val="single" w:color="DDDDDD" w:sz="4" w:space="0"/>
              <w:right w:val="single" w:color="DDDDDD" w:sz="4" w:space="0"/>
            </w:tcBorders>
            <w:shd w:val="clear" w:color="auto" w:fill="FFFFFF"/>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主要调研项目受益群体享受政策过程中是否做到客观公正，政策设计和制度构建是否完善，是否具有明显有失公允的情况</w:t>
            </w:r>
          </w:p>
        </w:tc>
        <w:tc>
          <w:tcPr>
            <w:tcW w:w="246" w:type="pct"/>
            <w:tcBorders>
              <w:top w:val="single" w:color="DDDDDD" w:sz="4" w:space="0"/>
              <w:left w:val="single" w:color="DDDDDD" w:sz="4" w:space="0"/>
              <w:bottom w:val="single" w:color="DDDDDD" w:sz="4" w:space="0"/>
              <w:right w:val="single" w:color="DDDDDD" w:sz="4" w:space="0"/>
            </w:tcBorders>
            <w:shd w:val="clear" w:color="auto" w:fill="FFFFFF"/>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w:t>
            </w:r>
          </w:p>
        </w:tc>
        <w:tc>
          <w:tcPr>
            <w:tcW w:w="825" w:type="pct"/>
            <w:tcBorders>
              <w:top w:val="single" w:color="DDDDDD" w:sz="4" w:space="0"/>
              <w:left w:val="single" w:color="DDDDDD" w:sz="4" w:space="0"/>
              <w:bottom w:val="single" w:color="DDDDDD" w:sz="4" w:space="0"/>
              <w:right w:val="single" w:color="4684D3" w:sz="4" w:space="0"/>
            </w:tcBorders>
            <w:shd w:val="clear" w:color="auto" w:fill="FFFFFF"/>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培训规模持续扩大</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0" w:hRule="atLeast"/>
          <w:jc w:val="center"/>
        </w:trPr>
        <w:tc>
          <w:tcPr>
            <w:tcW w:w="302" w:type="pct"/>
            <w:tcBorders>
              <w:top w:val="single" w:color="DDDDDD" w:sz="4" w:space="0"/>
              <w:left w:val="single" w:color="4684D3" w:sz="4" w:space="0"/>
              <w:bottom w:val="single" w:color="4684D3" w:sz="4" w:space="0"/>
              <w:right w:val="single" w:color="DDDDDD" w:sz="4" w:space="0"/>
            </w:tcBorders>
            <w:shd w:val="clear" w:color="auto" w:fill="FFFFFF"/>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b/>
                <w:bCs/>
                <w:i w:val="0"/>
                <w:iCs w:val="0"/>
                <w:color w:val="000000"/>
                <w:sz w:val="21"/>
                <w:szCs w:val="21"/>
                <w:u w:val="none"/>
              </w:rPr>
            </w:pPr>
            <w:r>
              <w:rPr>
                <w:rFonts w:hint="eastAsia" w:ascii="宋体" w:hAnsi="宋体" w:eastAsia="宋体" w:cs="宋体"/>
                <w:b/>
                <w:bCs/>
                <w:i w:val="0"/>
                <w:iCs w:val="0"/>
                <w:color w:val="000000"/>
                <w:kern w:val="0"/>
                <w:sz w:val="21"/>
                <w:szCs w:val="21"/>
                <w:u w:val="none"/>
                <w:lang w:val="en-US" w:eastAsia="zh-CN" w:bidi="ar"/>
              </w:rPr>
              <w:t>6%</w:t>
            </w:r>
          </w:p>
        </w:tc>
        <w:tc>
          <w:tcPr>
            <w:tcW w:w="262" w:type="pct"/>
            <w:tcBorders>
              <w:top w:val="single" w:color="DDDDDD" w:sz="4" w:space="0"/>
              <w:left w:val="single" w:color="DDDDDD" w:sz="4" w:space="0"/>
              <w:bottom w:val="single" w:color="4684D3" w:sz="4" w:space="0"/>
              <w:right w:val="single" w:color="DDDDDD" w:sz="4" w:space="0"/>
            </w:tcBorders>
            <w:shd w:val="clear" w:color="auto" w:fill="FFFFFF"/>
            <w:noWrap w:val="0"/>
            <w:textDirection w:val="tbRlV"/>
            <w:vAlign w:val="center"/>
          </w:tcPr>
          <w:p>
            <w:pPr>
              <w:keepNext w:val="0"/>
              <w:keepLines w:val="0"/>
              <w:pageBreakBefore w:val="0"/>
              <w:widowControl/>
              <w:kinsoku/>
              <w:wordWrap/>
              <w:overflowPunct/>
              <w:topLinePunct w:val="0"/>
              <w:autoSpaceDE/>
              <w:autoSpaceDN/>
              <w:bidi w:val="0"/>
              <w:adjustRightInd/>
              <w:snapToGrid/>
              <w:spacing w:line="240" w:lineRule="exact"/>
              <w:jc w:val="center"/>
              <w:rPr>
                <w:rFonts w:hint="eastAsia" w:ascii="宋体" w:hAnsi="宋体" w:eastAsia="宋体" w:cs="宋体"/>
                <w:b/>
                <w:bCs/>
                <w:i w:val="0"/>
                <w:iCs w:val="0"/>
                <w:color w:val="000000"/>
                <w:sz w:val="21"/>
                <w:szCs w:val="21"/>
                <w:u w:val="none"/>
              </w:rPr>
            </w:pPr>
          </w:p>
        </w:tc>
        <w:tc>
          <w:tcPr>
            <w:tcW w:w="257" w:type="pct"/>
            <w:tcBorders>
              <w:top w:val="single" w:color="DDDDDD" w:sz="4" w:space="0"/>
              <w:left w:val="single" w:color="DDDDDD" w:sz="4" w:space="0"/>
              <w:bottom w:val="single" w:color="4684D3" w:sz="4" w:space="0"/>
              <w:right w:val="single" w:color="DDDDDD" w:sz="4" w:space="0"/>
            </w:tcBorders>
            <w:shd w:val="clear" w:color="auto" w:fill="FFFFFF"/>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受益群体满意度</w:t>
            </w:r>
          </w:p>
        </w:tc>
        <w:tc>
          <w:tcPr>
            <w:tcW w:w="413" w:type="pct"/>
            <w:tcBorders>
              <w:top w:val="single" w:color="DDDDDD" w:sz="4" w:space="0"/>
              <w:left w:val="single" w:color="DDDDDD" w:sz="4" w:space="0"/>
              <w:bottom w:val="single" w:color="4684D3" w:sz="4" w:space="0"/>
              <w:right w:val="single" w:color="DDDDDD" w:sz="4" w:space="0"/>
            </w:tcBorders>
            <w:shd w:val="clear" w:color="auto" w:fill="FFFFFF"/>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提高学院满意度，达到90%以上</w:t>
            </w:r>
          </w:p>
        </w:tc>
        <w:tc>
          <w:tcPr>
            <w:tcW w:w="418" w:type="pct"/>
            <w:tcBorders>
              <w:top w:val="single" w:color="DDDDDD" w:sz="4" w:space="0"/>
              <w:left w:val="single" w:color="DDDDDD" w:sz="4" w:space="0"/>
              <w:bottom w:val="single" w:color="4684D3" w:sz="4" w:space="0"/>
              <w:right w:val="single" w:color="DDDDDD" w:sz="4" w:space="0"/>
            </w:tcBorders>
            <w:shd w:val="clear" w:color="auto" w:fill="FFFFFF"/>
            <w:noWrap w:val="0"/>
            <w:vAlign w:val="center"/>
          </w:tcPr>
          <w:p>
            <w:pPr>
              <w:keepNext w:val="0"/>
              <w:keepLines w:val="0"/>
              <w:pageBreakBefore w:val="0"/>
              <w:widowControl/>
              <w:kinsoku/>
              <w:wordWrap/>
              <w:overflowPunct/>
              <w:topLinePunct w:val="0"/>
              <w:autoSpaceDE/>
              <w:autoSpaceDN/>
              <w:bidi w:val="0"/>
              <w:adjustRightInd/>
              <w:snapToGrid/>
              <w:spacing w:line="240" w:lineRule="exact"/>
              <w:jc w:val="center"/>
              <w:rPr>
                <w:rFonts w:hint="eastAsia" w:ascii="宋体" w:hAnsi="宋体" w:eastAsia="宋体" w:cs="宋体"/>
                <w:i w:val="0"/>
                <w:iCs w:val="0"/>
                <w:color w:val="000000"/>
                <w:sz w:val="21"/>
                <w:szCs w:val="21"/>
                <w:u w:val="none"/>
              </w:rPr>
            </w:pPr>
          </w:p>
        </w:tc>
        <w:tc>
          <w:tcPr>
            <w:tcW w:w="250" w:type="pct"/>
            <w:tcBorders>
              <w:top w:val="single" w:color="DDDDDD" w:sz="4" w:space="0"/>
              <w:left w:val="single" w:color="DDDDDD" w:sz="4" w:space="0"/>
              <w:bottom w:val="single" w:color="4684D3" w:sz="4" w:space="0"/>
              <w:right w:val="single" w:color="DDDDDD" w:sz="4" w:space="0"/>
            </w:tcBorders>
            <w:shd w:val="clear" w:color="auto" w:fill="FFFFFF"/>
            <w:noWrap w:val="0"/>
            <w:vAlign w:val="center"/>
          </w:tcPr>
          <w:p>
            <w:pPr>
              <w:keepNext w:val="0"/>
              <w:keepLines w:val="0"/>
              <w:pageBreakBefore w:val="0"/>
              <w:widowControl/>
              <w:kinsoku/>
              <w:wordWrap/>
              <w:overflowPunct/>
              <w:topLinePunct w:val="0"/>
              <w:autoSpaceDE/>
              <w:autoSpaceDN/>
              <w:bidi w:val="0"/>
              <w:adjustRightInd/>
              <w:snapToGrid/>
              <w:spacing w:line="240" w:lineRule="exact"/>
              <w:jc w:val="center"/>
              <w:rPr>
                <w:rFonts w:hint="eastAsia" w:ascii="宋体" w:hAnsi="宋体" w:eastAsia="宋体" w:cs="宋体"/>
                <w:i w:val="0"/>
                <w:iCs w:val="0"/>
                <w:color w:val="000000"/>
                <w:sz w:val="21"/>
                <w:szCs w:val="21"/>
                <w:u w:val="none"/>
              </w:rPr>
            </w:pPr>
          </w:p>
        </w:tc>
        <w:tc>
          <w:tcPr>
            <w:tcW w:w="256" w:type="pct"/>
            <w:tcBorders>
              <w:top w:val="single" w:color="DDDDDD" w:sz="4" w:space="0"/>
              <w:left w:val="single" w:color="DDDDDD" w:sz="4" w:space="0"/>
              <w:bottom w:val="single" w:color="4684D3" w:sz="4" w:space="0"/>
              <w:right w:val="single" w:color="DDDDDD" w:sz="4" w:space="0"/>
            </w:tcBorders>
            <w:shd w:val="clear" w:color="auto" w:fill="FFFFFF"/>
            <w:noWrap w:val="0"/>
            <w:vAlign w:val="center"/>
          </w:tcPr>
          <w:p>
            <w:pPr>
              <w:keepNext w:val="0"/>
              <w:keepLines w:val="0"/>
              <w:pageBreakBefore w:val="0"/>
              <w:widowControl/>
              <w:kinsoku/>
              <w:wordWrap/>
              <w:overflowPunct/>
              <w:topLinePunct w:val="0"/>
              <w:autoSpaceDE/>
              <w:autoSpaceDN/>
              <w:bidi w:val="0"/>
              <w:adjustRightInd/>
              <w:snapToGrid/>
              <w:spacing w:line="240" w:lineRule="exact"/>
              <w:jc w:val="center"/>
              <w:rPr>
                <w:rFonts w:hint="eastAsia" w:ascii="宋体" w:hAnsi="宋体" w:eastAsia="宋体" w:cs="宋体"/>
                <w:i w:val="0"/>
                <w:iCs w:val="0"/>
                <w:color w:val="000000"/>
                <w:sz w:val="21"/>
                <w:szCs w:val="21"/>
                <w:u w:val="none"/>
              </w:rPr>
            </w:pPr>
          </w:p>
        </w:tc>
        <w:tc>
          <w:tcPr>
            <w:tcW w:w="321" w:type="pct"/>
            <w:tcBorders>
              <w:top w:val="single" w:color="DDDDDD" w:sz="4" w:space="0"/>
              <w:left w:val="single" w:color="DDDDDD" w:sz="4" w:space="0"/>
              <w:bottom w:val="single" w:color="4684D3" w:sz="4" w:space="0"/>
              <w:right w:val="single" w:color="DDDDDD" w:sz="4" w:space="0"/>
            </w:tcBorders>
            <w:shd w:val="clear" w:color="auto" w:fill="FFFFFF"/>
            <w:noWrap w:val="0"/>
            <w:vAlign w:val="center"/>
          </w:tcPr>
          <w:p>
            <w:pPr>
              <w:keepNext w:val="0"/>
              <w:keepLines w:val="0"/>
              <w:pageBreakBefore w:val="0"/>
              <w:widowControl/>
              <w:kinsoku/>
              <w:wordWrap/>
              <w:overflowPunct/>
              <w:topLinePunct w:val="0"/>
              <w:autoSpaceDE/>
              <w:autoSpaceDN/>
              <w:bidi w:val="0"/>
              <w:adjustRightInd/>
              <w:snapToGrid/>
              <w:spacing w:line="240" w:lineRule="exact"/>
              <w:jc w:val="center"/>
              <w:rPr>
                <w:rFonts w:hint="eastAsia" w:ascii="宋体" w:hAnsi="宋体" w:eastAsia="宋体" w:cs="宋体"/>
                <w:i w:val="0"/>
                <w:iCs w:val="0"/>
                <w:color w:val="000000"/>
                <w:sz w:val="21"/>
                <w:szCs w:val="21"/>
                <w:u w:val="none"/>
              </w:rPr>
            </w:pPr>
          </w:p>
        </w:tc>
        <w:tc>
          <w:tcPr>
            <w:tcW w:w="310" w:type="pct"/>
            <w:tcBorders>
              <w:top w:val="single" w:color="DDDDDD" w:sz="4" w:space="0"/>
              <w:left w:val="single" w:color="DDDDDD" w:sz="4" w:space="0"/>
              <w:bottom w:val="single" w:color="4684D3" w:sz="4" w:space="0"/>
              <w:right w:val="single" w:color="DDDDDD" w:sz="4" w:space="0"/>
            </w:tcBorders>
            <w:shd w:val="clear" w:color="auto" w:fill="FFFFFF"/>
            <w:noWrap w:val="0"/>
            <w:vAlign w:val="center"/>
          </w:tcPr>
          <w:p>
            <w:pPr>
              <w:keepNext w:val="0"/>
              <w:keepLines w:val="0"/>
              <w:pageBreakBefore w:val="0"/>
              <w:widowControl/>
              <w:kinsoku/>
              <w:wordWrap/>
              <w:overflowPunct/>
              <w:topLinePunct w:val="0"/>
              <w:autoSpaceDE/>
              <w:autoSpaceDN/>
              <w:bidi w:val="0"/>
              <w:adjustRightInd/>
              <w:snapToGrid/>
              <w:spacing w:line="240" w:lineRule="exact"/>
              <w:jc w:val="center"/>
              <w:rPr>
                <w:rFonts w:hint="eastAsia" w:ascii="宋体" w:hAnsi="宋体" w:eastAsia="宋体" w:cs="宋体"/>
                <w:i w:val="0"/>
                <w:iCs w:val="0"/>
                <w:color w:val="000000"/>
                <w:sz w:val="21"/>
                <w:szCs w:val="21"/>
                <w:u w:val="none"/>
              </w:rPr>
            </w:pPr>
          </w:p>
        </w:tc>
        <w:tc>
          <w:tcPr>
            <w:tcW w:w="310" w:type="pct"/>
            <w:tcBorders>
              <w:top w:val="single" w:color="DDDDDD" w:sz="4" w:space="0"/>
              <w:left w:val="single" w:color="DDDDDD" w:sz="4" w:space="0"/>
              <w:bottom w:val="single" w:color="4684D3" w:sz="4" w:space="0"/>
              <w:right w:val="single" w:color="DDDDDD" w:sz="4" w:space="0"/>
            </w:tcBorders>
            <w:shd w:val="clear" w:color="auto" w:fill="FFFFFF"/>
            <w:noWrap w:val="0"/>
            <w:vAlign w:val="center"/>
          </w:tcPr>
          <w:p>
            <w:pPr>
              <w:keepNext w:val="0"/>
              <w:keepLines w:val="0"/>
              <w:pageBreakBefore w:val="0"/>
              <w:widowControl/>
              <w:kinsoku/>
              <w:wordWrap/>
              <w:overflowPunct/>
              <w:topLinePunct w:val="0"/>
              <w:autoSpaceDE/>
              <w:autoSpaceDN/>
              <w:bidi w:val="0"/>
              <w:adjustRightInd/>
              <w:snapToGrid/>
              <w:spacing w:line="240" w:lineRule="exact"/>
              <w:jc w:val="center"/>
              <w:rPr>
                <w:rFonts w:hint="eastAsia" w:ascii="宋体" w:hAnsi="宋体" w:eastAsia="宋体" w:cs="宋体"/>
                <w:i w:val="0"/>
                <w:iCs w:val="0"/>
                <w:color w:val="000000"/>
                <w:sz w:val="21"/>
                <w:szCs w:val="21"/>
                <w:u w:val="none"/>
              </w:rPr>
            </w:pPr>
          </w:p>
        </w:tc>
        <w:tc>
          <w:tcPr>
            <w:tcW w:w="252" w:type="pct"/>
            <w:tcBorders>
              <w:top w:val="single" w:color="DDDDDD" w:sz="4" w:space="0"/>
              <w:left w:val="single" w:color="DDDDDD" w:sz="4" w:space="0"/>
              <w:bottom w:val="single" w:color="4684D3" w:sz="4" w:space="0"/>
              <w:right w:val="single" w:color="DDDDDD" w:sz="4" w:space="0"/>
            </w:tcBorders>
            <w:shd w:val="clear" w:color="auto" w:fill="FFFFFF"/>
            <w:noWrap w:val="0"/>
            <w:vAlign w:val="center"/>
          </w:tcPr>
          <w:p>
            <w:pPr>
              <w:keepNext w:val="0"/>
              <w:keepLines w:val="0"/>
              <w:pageBreakBefore w:val="0"/>
              <w:widowControl/>
              <w:kinsoku/>
              <w:wordWrap/>
              <w:overflowPunct/>
              <w:topLinePunct w:val="0"/>
              <w:autoSpaceDE/>
              <w:autoSpaceDN/>
              <w:bidi w:val="0"/>
              <w:adjustRightInd/>
              <w:snapToGrid/>
              <w:spacing w:line="240" w:lineRule="exact"/>
              <w:jc w:val="center"/>
              <w:rPr>
                <w:rFonts w:hint="eastAsia" w:ascii="宋体" w:hAnsi="宋体" w:eastAsia="宋体" w:cs="宋体"/>
                <w:i w:val="0"/>
                <w:iCs w:val="0"/>
                <w:color w:val="000000"/>
                <w:sz w:val="21"/>
                <w:szCs w:val="21"/>
                <w:u w:val="none"/>
              </w:rPr>
            </w:pPr>
          </w:p>
        </w:tc>
        <w:tc>
          <w:tcPr>
            <w:tcW w:w="573" w:type="pct"/>
            <w:tcBorders>
              <w:top w:val="single" w:color="DDDDDD" w:sz="4" w:space="0"/>
              <w:left w:val="single" w:color="DDDDDD" w:sz="4" w:space="0"/>
              <w:bottom w:val="single" w:color="4684D3" w:sz="4" w:space="0"/>
              <w:right w:val="single" w:color="DDDDDD" w:sz="4" w:space="0"/>
            </w:tcBorders>
            <w:shd w:val="clear" w:color="auto" w:fill="FFFFFF"/>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主要调研政策和项目相关方在政策实施过程中的满意值，通过不满意情况汇总分析政策在顶层设计、制度构建、管理实施及成效各环节的情况</w:t>
            </w:r>
          </w:p>
        </w:tc>
        <w:tc>
          <w:tcPr>
            <w:tcW w:w="246" w:type="pct"/>
            <w:tcBorders>
              <w:top w:val="single" w:color="DDDDDD" w:sz="4" w:space="0"/>
              <w:left w:val="single" w:color="DDDDDD" w:sz="4" w:space="0"/>
              <w:bottom w:val="single" w:color="4684D3" w:sz="4" w:space="0"/>
              <w:right w:val="single" w:color="DDDDDD" w:sz="4" w:space="0"/>
            </w:tcBorders>
            <w:shd w:val="clear" w:color="auto" w:fill="FFFFFF"/>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w:t>
            </w:r>
          </w:p>
        </w:tc>
        <w:tc>
          <w:tcPr>
            <w:tcW w:w="825" w:type="pct"/>
            <w:tcBorders>
              <w:top w:val="single" w:color="DDDDDD" w:sz="4" w:space="0"/>
              <w:left w:val="single" w:color="DDDDDD" w:sz="4" w:space="0"/>
              <w:bottom w:val="single" w:color="4684D3" w:sz="4" w:space="0"/>
              <w:right w:val="single" w:color="4684D3" w:sz="4" w:space="0"/>
            </w:tcBorders>
            <w:shd w:val="clear" w:color="auto" w:fill="FFFFFF"/>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提高学院满意度，达到90%以上</w:t>
            </w:r>
          </w:p>
        </w:tc>
      </w:tr>
    </w:tbl>
    <w:p>
      <w:pPr>
        <w:spacing w:line="580" w:lineRule="exact"/>
        <w:ind w:firstLine="640" w:firstLineChars="200"/>
        <w:rPr>
          <w:rFonts w:ascii="仿宋_GB2312" w:hAnsi="仿宋_GB2312" w:eastAsia="仿宋_GB2312" w:cs="仿宋_GB2312"/>
          <w:sz w:val="32"/>
          <w:szCs w:val="32"/>
        </w:rPr>
      </w:pPr>
    </w:p>
    <w:p>
      <w:pPr>
        <w:spacing w:line="580" w:lineRule="exact"/>
        <w:ind w:firstLine="640" w:firstLineChars="200"/>
        <w:rPr>
          <w:rFonts w:ascii="仿宋_GB2312" w:hAnsi="仿宋_GB2312" w:eastAsia="仿宋_GB2312" w:cs="仿宋_GB2312"/>
          <w:sz w:val="32"/>
          <w:szCs w:val="32"/>
        </w:rPr>
      </w:pPr>
    </w:p>
    <w:p>
      <w:pPr>
        <w:spacing w:line="580" w:lineRule="exact"/>
        <w:ind w:firstLine="640" w:firstLineChars="200"/>
        <w:rPr>
          <w:rFonts w:ascii="仿宋_GB2312" w:hAnsi="仿宋_GB2312" w:eastAsia="仿宋_GB2312" w:cs="仿宋_GB2312"/>
          <w:sz w:val="32"/>
          <w:szCs w:val="32"/>
        </w:rPr>
      </w:pPr>
    </w:p>
    <w:p>
      <w:pPr>
        <w:spacing w:line="580" w:lineRule="exact"/>
        <w:ind w:left="630"/>
        <w:rPr>
          <w:rFonts w:ascii="仿宋_GB2312" w:hAnsi="仿宋_GB2312" w:eastAsia="仿宋_GB2312" w:cs="仿宋_GB2312"/>
          <w:sz w:val="32"/>
          <w:szCs w:val="32"/>
        </w:rPr>
      </w:pPr>
    </w:p>
    <w:p>
      <w:pPr>
        <w:spacing w:line="580" w:lineRule="exact"/>
        <w:ind w:left="630"/>
        <w:rPr>
          <w:rFonts w:ascii="仿宋_GB2312" w:hAnsi="仿宋_GB2312" w:eastAsia="仿宋_GB2312" w:cs="仿宋_GB2312"/>
          <w:sz w:val="32"/>
          <w:szCs w:val="32"/>
        </w:rPr>
      </w:pPr>
    </w:p>
    <w:p>
      <w:pPr>
        <w:spacing w:line="580" w:lineRule="exact"/>
        <w:ind w:left="630"/>
        <w:rPr>
          <w:rFonts w:ascii="仿宋_GB2312" w:hAnsi="仿宋_GB2312" w:eastAsia="仿宋_GB2312" w:cs="仿宋_GB2312"/>
          <w:sz w:val="32"/>
          <w:szCs w:val="32"/>
        </w:rPr>
      </w:pPr>
      <w:r>
        <w:rPr>
          <w:rFonts w:hint="eastAsia" w:ascii="楷体_GB2312" w:hAnsi="楷体_GB2312" w:eastAsia="楷体_GB2312" w:cs="楷体_GB2312"/>
          <w:sz w:val="32"/>
          <w:szCs w:val="32"/>
        </w:rPr>
        <w:t>2.部门绩效评价结果。</w:t>
      </w:r>
    </w:p>
    <w:p>
      <w:pPr>
        <w:spacing w:line="58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本部门按要求对202</w:t>
      </w:r>
      <w:r>
        <w:rPr>
          <w:rFonts w:hint="eastAsia" w:ascii="仿宋_GB2312" w:hAnsi="仿宋_GB2312" w:eastAsia="仿宋_GB2312" w:cs="仿宋_GB2312"/>
          <w:sz w:val="32"/>
          <w:szCs w:val="32"/>
          <w:lang w:val="en-US" w:eastAsia="zh-CN"/>
        </w:rPr>
        <w:t>1</w:t>
      </w:r>
      <w:r>
        <w:rPr>
          <w:rFonts w:hint="eastAsia" w:ascii="仿宋_GB2312" w:hAnsi="仿宋_GB2312" w:eastAsia="仿宋_GB2312" w:cs="仿宋_GB2312"/>
          <w:sz w:val="32"/>
          <w:szCs w:val="32"/>
        </w:rPr>
        <w:t>年部门整体支出绩效评价情况开展自评，《部门202</w:t>
      </w:r>
      <w:r>
        <w:rPr>
          <w:rFonts w:hint="eastAsia" w:ascii="仿宋_GB2312" w:hAnsi="仿宋_GB2312" w:eastAsia="仿宋_GB2312" w:cs="仿宋_GB2312"/>
          <w:sz w:val="32"/>
          <w:szCs w:val="32"/>
          <w:lang w:val="en-US" w:eastAsia="zh-CN"/>
        </w:rPr>
        <w:t>1</w:t>
      </w:r>
      <w:r>
        <w:rPr>
          <w:rFonts w:hint="eastAsia" w:ascii="仿宋_GB2312" w:hAnsi="仿宋_GB2312" w:eastAsia="仿宋_GB2312" w:cs="仿宋_GB2312"/>
          <w:sz w:val="32"/>
          <w:szCs w:val="32"/>
        </w:rPr>
        <w:t>年部门整体支出绩效评价报告》见附件（附件1）。</w:t>
      </w:r>
    </w:p>
    <w:p>
      <w:pPr>
        <w:spacing w:line="580" w:lineRule="exact"/>
        <w:ind w:firstLine="640" w:firstLineChars="200"/>
        <w:rPr>
          <w:rFonts w:ascii="仿宋_GB2312" w:eastAsia="仿宋_GB2312"/>
          <w:b/>
          <w:color w:val="000000"/>
          <w:sz w:val="32"/>
          <w:szCs w:val="32"/>
        </w:rPr>
      </w:pPr>
      <w:r>
        <w:rPr>
          <w:rFonts w:hint="eastAsia" w:ascii="仿宋_GB2312" w:hAnsi="仿宋_GB2312" w:eastAsia="仿宋_GB2312" w:cs="仿宋_GB2312"/>
          <w:sz w:val="32"/>
          <w:szCs w:val="32"/>
        </w:rPr>
        <w:t>本部门自行组织对项目开展了绩效评价，《项目202</w:t>
      </w:r>
      <w:r>
        <w:rPr>
          <w:rFonts w:hint="eastAsia" w:ascii="仿宋_GB2312" w:hAnsi="仿宋_GB2312" w:eastAsia="仿宋_GB2312" w:cs="仿宋_GB2312"/>
          <w:sz w:val="32"/>
          <w:szCs w:val="32"/>
          <w:lang w:val="en-US" w:eastAsia="zh-CN"/>
        </w:rPr>
        <w:t>1</w:t>
      </w:r>
      <w:r>
        <w:rPr>
          <w:rFonts w:hint="eastAsia" w:ascii="仿宋_GB2312" w:hAnsi="仿宋_GB2312" w:eastAsia="仿宋_GB2312" w:cs="仿宋_GB2312"/>
          <w:sz w:val="32"/>
          <w:szCs w:val="32"/>
        </w:rPr>
        <w:t>年绩效评价报告》见附件（附件2）。</w:t>
      </w:r>
    </w:p>
    <w:p>
      <w:pPr>
        <w:widowControl/>
        <w:jc w:val="left"/>
        <w:rPr>
          <w:rFonts w:ascii="仿宋_GB2312" w:eastAsia="仿宋_GB2312"/>
          <w:b/>
          <w:color w:val="000000"/>
          <w:sz w:val="32"/>
          <w:szCs w:val="32"/>
        </w:rPr>
      </w:pPr>
      <w:r>
        <w:rPr>
          <w:rFonts w:ascii="仿宋_GB2312" w:eastAsia="仿宋_GB2312"/>
          <w:b/>
          <w:color w:val="000000"/>
          <w:sz w:val="32"/>
          <w:szCs w:val="32"/>
        </w:rPr>
        <w:br w:type="page"/>
      </w:r>
    </w:p>
    <w:p>
      <w:pPr>
        <w:numPr>
          <w:ilvl w:val="0"/>
          <w:numId w:val="3"/>
        </w:numPr>
        <w:spacing w:line="600" w:lineRule="exact"/>
        <w:ind w:firstLine="660" w:firstLineChars="150"/>
        <w:jc w:val="center"/>
        <w:outlineLvl w:val="0"/>
        <w:rPr>
          <w:rStyle w:val="25"/>
          <w:rFonts w:ascii="黑体" w:hAnsi="黑体" w:eastAsia="黑体"/>
          <w:b w:val="0"/>
        </w:rPr>
      </w:pPr>
      <w:bookmarkStart w:id="139" w:name="_Toc580365366_WPSOffice_Level1"/>
      <w:bookmarkStart w:id="140" w:name="_Toc15377225"/>
      <w:bookmarkStart w:id="141" w:name="_Toc15396613"/>
      <w:r>
        <w:rPr>
          <w:rFonts w:hint="eastAsia" w:ascii="黑体" w:hAnsi="黑体" w:eastAsia="黑体"/>
          <w:color w:val="000000"/>
          <w:sz w:val="44"/>
          <w:szCs w:val="44"/>
        </w:rPr>
        <w:t>名</w:t>
      </w:r>
      <w:r>
        <w:rPr>
          <w:rStyle w:val="25"/>
          <w:rFonts w:hint="eastAsia" w:ascii="黑体" w:hAnsi="黑体" w:eastAsia="黑体"/>
          <w:b w:val="0"/>
        </w:rPr>
        <w:t>词解释</w:t>
      </w:r>
      <w:bookmarkEnd w:id="139"/>
      <w:bookmarkEnd w:id="140"/>
      <w:bookmarkEnd w:id="141"/>
    </w:p>
    <w:p>
      <w:pPr>
        <w:spacing w:line="600" w:lineRule="exact"/>
        <w:jc w:val="left"/>
        <w:rPr>
          <w:rFonts w:ascii="宋体"/>
          <w:b/>
          <w:color w:val="000000"/>
          <w:sz w:val="44"/>
          <w:szCs w:val="44"/>
        </w:rPr>
      </w:pPr>
    </w:p>
    <w:p>
      <w:pPr>
        <w:pStyle w:val="23"/>
        <w:spacing w:line="560" w:lineRule="exact"/>
        <w:ind w:firstLine="640" w:firstLineChars="200"/>
        <w:rPr>
          <w:rFonts w:ascii="仿宋_GB2312" w:eastAsia="仿宋_GB2312"/>
          <w:sz w:val="32"/>
          <w:szCs w:val="32"/>
        </w:rPr>
      </w:pPr>
      <w:r>
        <w:rPr>
          <w:rFonts w:ascii="仿宋_GB2312" w:eastAsia="仿宋_GB2312"/>
          <w:sz w:val="32"/>
          <w:szCs w:val="32"/>
        </w:rPr>
        <w:t>1.</w:t>
      </w:r>
      <w:r>
        <w:rPr>
          <w:rFonts w:hint="eastAsia" w:ascii="仿宋_GB2312" w:eastAsia="仿宋_GB2312"/>
          <w:sz w:val="32"/>
          <w:szCs w:val="32"/>
        </w:rPr>
        <w:t>财政拨款收入：指单位从同级财政部门取得的财政预算资金。</w:t>
      </w:r>
    </w:p>
    <w:p>
      <w:pPr>
        <w:pStyle w:val="23"/>
        <w:spacing w:line="560" w:lineRule="exact"/>
        <w:ind w:firstLine="640" w:firstLineChars="200"/>
        <w:rPr>
          <w:rFonts w:ascii="仿宋_GB2312" w:eastAsia="仿宋_GB2312"/>
          <w:sz w:val="32"/>
          <w:szCs w:val="32"/>
        </w:rPr>
      </w:pPr>
      <w:r>
        <w:rPr>
          <w:rFonts w:ascii="仿宋_GB2312" w:eastAsia="仿宋_GB2312"/>
          <w:sz w:val="32"/>
          <w:szCs w:val="32"/>
        </w:rPr>
        <w:t>2.</w:t>
      </w:r>
      <w:r>
        <w:rPr>
          <w:rFonts w:hint="eastAsia" w:ascii="仿宋_GB2312" w:eastAsia="仿宋_GB2312"/>
          <w:sz w:val="32"/>
          <w:szCs w:val="32"/>
        </w:rPr>
        <w:t>事业收入：指事业单位开展专业业务活动及辅助活动取得的收入。如…（二级预算单位事业收入情况）等。</w:t>
      </w:r>
    </w:p>
    <w:p>
      <w:pPr>
        <w:pStyle w:val="23"/>
        <w:spacing w:line="560" w:lineRule="exact"/>
        <w:ind w:firstLine="640" w:firstLineChars="200"/>
        <w:rPr>
          <w:rFonts w:ascii="仿宋_GB2312" w:eastAsia="仿宋_GB2312"/>
          <w:sz w:val="32"/>
          <w:szCs w:val="32"/>
        </w:rPr>
      </w:pPr>
      <w:r>
        <w:rPr>
          <w:rFonts w:ascii="仿宋_GB2312" w:eastAsia="仿宋_GB2312"/>
          <w:sz w:val="32"/>
          <w:szCs w:val="32"/>
        </w:rPr>
        <w:t>3.</w:t>
      </w:r>
      <w:r>
        <w:rPr>
          <w:rFonts w:hint="eastAsia" w:ascii="仿宋_GB2312" w:eastAsia="仿宋_GB2312"/>
          <w:sz w:val="32"/>
          <w:szCs w:val="32"/>
        </w:rPr>
        <w:t>经营收入：指事业单位在专业业务活动及其辅助活动之外开展非独立核算经营活动取得的收入。如…（二级预算单位经营收入情况）等。</w:t>
      </w:r>
    </w:p>
    <w:p>
      <w:pPr>
        <w:pStyle w:val="23"/>
        <w:spacing w:line="560" w:lineRule="exact"/>
        <w:ind w:firstLine="640" w:firstLineChars="200"/>
        <w:rPr>
          <w:rFonts w:ascii="仿宋_GB2312" w:eastAsia="仿宋_GB2312"/>
          <w:sz w:val="32"/>
          <w:szCs w:val="32"/>
        </w:rPr>
      </w:pPr>
      <w:r>
        <w:rPr>
          <w:rFonts w:ascii="仿宋_GB2312" w:eastAsia="仿宋_GB2312"/>
          <w:sz w:val="32"/>
          <w:szCs w:val="32"/>
        </w:rPr>
        <w:t>4.</w:t>
      </w:r>
      <w:r>
        <w:rPr>
          <w:rFonts w:hint="eastAsia" w:ascii="仿宋_GB2312" w:eastAsia="仿宋_GB2312"/>
          <w:sz w:val="32"/>
          <w:szCs w:val="32"/>
        </w:rPr>
        <w:t>其他收入：指单位取得的除上述收入以外的各项收入。主要是…（收入类型）等。</w:t>
      </w:r>
      <w:r>
        <w:rPr>
          <w:rFonts w:ascii="仿宋_GB2312" w:eastAsia="仿宋_GB2312"/>
          <w:sz w:val="32"/>
          <w:szCs w:val="32"/>
        </w:rPr>
        <w:t xml:space="preserve"> </w:t>
      </w:r>
    </w:p>
    <w:p>
      <w:pPr>
        <w:pStyle w:val="23"/>
        <w:spacing w:line="560" w:lineRule="exact"/>
        <w:ind w:firstLine="640" w:firstLineChars="200"/>
        <w:rPr>
          <w:rFonts w:ascii="仿宋_GB2312" w:eastAsia="仿宋_GB2312"/>
          <w:sz w:val="32"/>
          <w:szCs w:val="32"/>
        </w:rPr>
      </w:pPr>
      <w:r>
        <w:rPr>
          <w:rFonts w:ascii="仿宋_GB2312" w:eastAsia="仿宋_GB2312"/>
          <w:sz w:val="32"/>
          <w:szCs w:val="32"/>
        </w:rPr>
        <w:t>5.</w:t>
      </w:r>
      <w:r>
        <w:rPr>
          <w:rFonts w:hint="eastAsia" w:ascii="仿宋_GB2312" w:eastAsia="仿宋_GB2312"/>
          <w:sz w:val="32"/>
          <w:szCs w:val="32"/>
        </w:rPr>
        <w:t>使用非财政拨款结余：指事业单位使用以前年度积累的非财政拨款结余弥补当年收支差额的金额。</w:t>
      </w:r>
      <w:r>
        <w:rPr>
          <w:rFonts w:ascii="仿宋_GB2312" w:eastAsia="仿宋_GB2312"/>
          <w:sz w:val="32"/>
          <w:szCs w:val="32"/>
        </w:rPr>
        <w:t xml:space="preserve"> </w:t>
      </w:r>
    </w:p>
    <w:p>
      <w:pPr>
        <w:pStyle w:val="23"/>
        <w:spacing w:line="560" w:lineRule="exact"/>
        <w:ind w:firstLine="640" w:firstLineChars="200"/>
        <w:rPr>
          <w:rFonts w:ascii="仿宋_GB2312" w:eastAsia="仿宋_GB2312"/>
          <w:sz w:val="32"/>
          <w:szCs w:val="32"/>
        </w:rPr>
      </w:pPr>
      <w:r>
        <w:rPr>
          <w:rFonts w:ascii="仿宋_GB2312" w:eastAsia="仿宋_GB2312"/>
          <w:sz w:val="32"/>
          <w:szCs w:val="32"/>
        </w:rPr>
        <w:t>6.</w:t>
      </w:r>
      <w:r>
        <w:rPr>
          <w:rFonts w:hint="eastAsia" w:ascii="仿宋_GB2312" w:eastAsia="仿宋_GB2312"/>
          <w:sz w:val="32"/>
          <w:szCs w:val="32"/>
        </w:rPr>
        <w:t>年初结转和结余：指以前年度尚未完成、结转到本年按有关规定继续使用的资金。</w:t>
      </w:r>
      <w:r>
        <w:rPr>
          <w:rFonts w:ascii="仿宋_GB2312" w:eastAsia="仿宋_GB2312"/>
          <w:sz w:val="32"/>
          <w:szCs w:val="32"/>
        </w:rPr>
        <w:t xml:space="preserve"> </w:t>
      </w:r>
    </w:p>
    <w:p>
      <w:pPr>
        <w:pStyle w:val="23"/>
        <w:spacing w:line="560" w:lineRule="exact"/>
        <w:ind w:firstLine="640" w:firstLineChars="200"/>
        <w:rPr>
          <w:rFonts w:ascii="仿宋_GB2312" w:eastAsia="仿宋_GB2312"/>
          <w:sz w:val="32"/>
          <w:szCs w:val="32"/>
        </w:rPr>
      </w:pPr>
      <w:r>
        <w:rPr>
          <w:rFonts w:ascii="仿宋_GB2312" w:eastAsia="仿宋_GB2312"/>
          <w:sz w:val="32"/>
          <w:szCs w:val="32"/>
        </w:rPr>
        <w:t>7.</w:t>
      </w:r>
      <w:r>
        <w:rPr>
          <w:rFonts w:hint="eastAsia" w:ascii="仿宋_GB2312" w:eastAsia="仿宋_GB2312"/>
          <w:sz w:val="32"/>
          <w:szCs w:val="32"/>
        </w:rPr>
        <w:t>结余分配：指事业单位按照会计制度规定缴纳的所得税、提取的专用结余以及转入非财政拨款结余的金额等。</w:t>
      </w:r>
    </w:p>
    <w:p>
      <w:pPr>
        <w:pStyle w:val="23"/>
        <w:spacing w:line="560" w:lineRule="exact"/>
        <w:ind w:firstLine="640" w:firstLineChars="200"/>
        <w:rPr>
          <w:rFonts w:ascii="仿宋_GB2312" w:eastAsia="仿宋_GB2312"/>
          <w:sz w:val="32"/>
          <w:szCs w:val="32"/>
        </w:rPr>
      </w:pPr>
      <w:r>
        <w:rPr>
          <w:rFonts w:ascii="仿宋_GB2312" w:eastAsia="仿宋_GB2312"/>
          <w:sz w:val="32"/>
          <w:szCs w:val="32"/>
        </w:rPr>
        <w:t>8</w:t>
      </w:r>
      <w:r>
        <w:rPr>
          <w:rFonts w:hint="eastAsia" w:ascii="仿宋_GB2312" w:eastAsia="仿宋_GB2312"/>
          <w:sz w:val="32"/>
          <w:szCs w:val="32"/>
        </w:rPr>
        <w:t>、年末结转和结余：指单位按有关规定结转到下年或以后年度继续使用的资金。</w:t>
      </w:r>
    </w:p>
    <w:p>
      <w:pPr>
        <w:pStyle w:val="23"/>
        <w:spacing w:line="560" w:lineRule="exact"/>
        <w:ind w:firstLine="640" w:firstLineChars="200"/>
        <w:rPr>
          <w:rFonts w:hint="eastAsia" w:ascii="仿宋_GB2312" w:eastAsia="仿宋_GB2312"/>
          <w:sz w:val="32"/>
          <w:szCs w:val="32"/>
        </w:rPr>
      </w:pPr>
      <w:r>
        <w:rPr>
          <w:rFonts w:hint="eastAsia" w:ascii="仿宋_GB2312" w:eastAsia="仿宋_GB2312"/>
          <w:sz w:val="32"/>
          <w:szCs w:val="32"/>
          <w:lang w:val="en-US" w:eastAsia="zh-CN"/>
        </w:rPr>
        <w:t>9.</w:t>
      </w:r>
      <w:r>
        <w:rPr>
          <w:rFonts w:hint="eastAsia" w:ascii="仿宋_GB2312" w:eastAsia="仿宋_GB2312"/>
          <w:sz w:val="32"/>
          <w:szCs w:val="32"/>
        </w:rPr>
        <w:t>教育（类）进修及培训（款）干部教育（项）</w:t>
      </w:r>
      <w:r>
        <w:rPr>
          <w:rFonts w:hint="eastAsia" w:ascii="仿宋_GB2312" w:eastAsia="仿宋_GB2312"/>
          <w:sz w:val="32"/>
          <w:szCs w:val="32"/>
          <w:lang w:eastAsia="zh-CN"/>
        </w:rPr>
        <w:t>：</w:t>
      </w:r>
      <w:r>
        <w:rPr>
          <w:rFonts w:hint="eastAsia" w:ascii="仿宋_GB2312" w:eastAsia="仿宋_GB2312"/>
          <w:sz w:val="32"/>
          <w:szCs w:val="32"/>
        </w:rPr>
        <w:t>指</w:t>
      </w:r>
      <w:r>
        <w:rPr>
          <w:rFonts w:hint="eastAsia" w:ascii="仿宋_GB2312" w:eastAsia="仿宋_GB2312"/>
          <w:sz w:val="32"/>
          <w:szCs w:val="32"/>
          <w:lang w:eastAsia="zh-CN"/>
        </w:rPr>
        <w:t>反映各级党校、行政学院、社会主义学院、国家会计学院的支出。包括机构运转、招聘师资、举办各类培训班的支出等</w:t>
      </w:r>
      <w:r>
        <w:rPr>
          <w:rFonts w:hint="eastAsia" w:ascii="仿宋_GB2312" w:eastAsia="仿宋_GB2312"/>
          <w:sz w:val="32"/>
          <w:szCs w:val="32"/>
        </w:rPr>
        <w:t>。</w:t>
      </w:r>
    </w:p>
    <w:p>
      <w:pPr>
        <w:pStyle w:val="23"/>
        <w:spacing w:line="560" w:lineRule="exact"/>
        <w:ind w:firstLine="640" w:firstLineChars="200"/>
        <w:rPr>
          <w:rFonts w:hint="eastAsia" w:ascii="仿宋_GB2312" w:eastAsia="仿宋_GB2312"/>
          <w:sz w:val="32"/>
          <w:szCs w:val="32"/>
        </w:rPr>
      </w:pPr>
      <w:r>
        <w:rPr>
          <w:rFonts w:hint="eastAsia" w:ascii="仿宋_GB2312" w:eastAsia="仿宋_GB2312"/>
          <w:sz w:val="32"/>
          <w:szCs w:val="32"/>
          <w:lang w:val="en-US" w:eastAsia="zh-CN"/>
        </w:rPr>
        <w:t>10.</w:t>
      </w:r>
      <w:r>
        <w:rPr>
          <w:rFonts w:hint="eastAsia" w:ascii="仿宋_GB2312" w:eastAsia="仿宋_GB2312"/>
          <w:sz w:val="32"/>
          <w:szCs w:val="32"/>
        </w:rPr>
        <w:t>社会保障和就业（类）行政事业单位养老支出（款）机关事业单位基本养老保险缴费支出（项）</w:t>
      </w:r>
      <w:r>
        <w:rPr>
          <w:rFonts w:hint="eastAsia" w:ascii="仿宋_GB2312" w:eastAsia="仿宋_GB2312"/>
          <w:sz w:val="32"/>
          <w:szCs w:val="32"/>
          <w:lang w:eastAsia="zh-CN"/>
        </w:rPr>
        <w:t>。指反映机关事业单位实施养老保险制度由单位缴纳的基本养老保险费支出。</w:t>
      </w:r>
    </w:p>
    <w:p>
      <w:pPr>
        <w:pStyle w:val="23"/>
        <w:spacing w:line="560" w:lineRule="exact"/>
        <w:ind w:firstLine="640" w:firstLineChars="200"/>
        <w:rPr>
          <w:rFonts w:hint="eastAsia" w:ascii="仿宋_GB2312" w:eastAsia="仿宋_GB2312"/>
          <w:color w:val="000000"/>
          <w:sz w:val="32"/>
          <w:szCs w:val="32"/>
          <w:lang w:eastAsia="zh-CN"/>
        </w:rPr>
      </w:pPr>
      <w:r>
        <w:rPr>
          <w:rFonts w:hint="eastAsia" w:ascii="仿宋_GB2312" w:eastAsia="仿宋_GB2312"/>
          <w:sz w:val="32"/>
          <w:szCs w:val="32"/>
        </w:rPr>
        <w:t>1</w:t>
      </w:r>
      <w:r>
        <w:rPr>
          <w:rFonts w:hint="eastAsia" w:ascii="仿宋_GB2312" w:eastAsia="仿宋_GB2312"/>
          <w:sz w:val="32"/>
          <w:szCs w:val="32"/>
          <w:lang w:val="en-US" w:eastAsia="zh-CN"/>
        </w:rPr>
        <w:t>1</w:t>
      </w:r>
      <w:r>
        <w:rPr>
          <w:rFonts w:hint="eastAsia" w:ascii="仿宋_GB2312" w:eastAsia="仿宋_GB2312"/>
          <w:sz w:val="32"/>
          <w:szCs w:val="32"/>
        </w:rPr>
        <w:t>.社会保障和就业（类）行政事业单位养老支出（款） 行政单位离退</w:t>
      </w:r>
      <w:r>
        <w:rPr>
          <w:rStyle w:val="15"/>
          <w:rFonts w:hint="eastAsia" w:ascii="仿宋" w:hAnsi="仿宋" w:eastAsia="仿宋"/>
          <w:b w:val="0"/>
          <w:bCs/>
          <w:color w:val="000000"/>
          <w:sz w:val="32"/>
          <w:szCs w:val="32"/>
        </w:rPr>
        <w:t>休（项）</w:t>
      </w:r>
      <w:r>
        <w:rPr>
          <w:rStyle w:val="15"/>
          <w:rFonts w:hint="eastAsia" w:ascii="仿宋" w:hAnsi="仿宋" w:eastAsia="仿宋"/>
          <w:b w:val="0"/>
          <w:bCs/>
          <w:color w:val="000000"/>
          <w:sz w:val="32"/>
          <w:szCs w:val="32"/>
          <w:lang w:eastAsia="zh-CN"/>
        </w:rPr>
        <w:t>。</w:t>
      </w:r>
      <w:r>
        <w:rPr>
          <w:rFonts w:hint="eastAsia" w:ascii="仿宋_GB2312" w:eastAsia="仿宋_GB2312"/>
          <w:color w:val="000000"/>
          <w:sz w:val="32"/>
          <w:szCs w:val="32"/>
        </w:rPr>
        <w:t>指</w:t>
      </w:r>
      <w:r>
        <w:rPr>
          <w:rFonts w:hint="eastAsia" w:ascii="仿宋_GB2312" w:eastAsia="仿宋_GB2312"/>
          <w:color w:val="000000"/>
          <w:sz w:val="32"/>
          <w:szCs w:val="32"/>
          <w:lang w:eastAsia="zh-CN"/>
        </w:rPr>
        <w:t>反映实行归口管理的行政单位（包括实行公务员管理的事业单位）</w:t>
      </w:r>
      <w:r>
        <w:rPr>
          <w:rFonts w:hint="eastAsia" w:ascii="仿宋_GB2312" w:eastAsia="仿宋_GB2312"/>
          <w:color w:val="000000"/>
          <w:sz w:val="32"/>
          <w:szCs w:val="32"/>
        </w:rPr>
        <w:t>。</w:t>
      </w:r>
      <w:r>
        <w:rPr>
          <w:rFonts w:hint="eastAsia" w:ascii="仿宋_GB2312" w:eastAsia="仿宋_GB2312"/>
          <w:color w:val="000000"/>
          <w:sz w:val="32"/>
          <w:szCs w:val="32"/>
          <w:lang w:eastAsia="zh-CN"/>
        </w:rPr>
        <w:t>开支的离退休经费。</w:t>
      </w:r>
    </w:p>
    <w:p>
      <w:pPr>
        <w:ind w:firstLine="640" w:firstLineChars="200"/>
        <w:rPr>
          <w:rFonts w:ascii="仿宋_GB2312" w:eastAsia="仿宋_GB2312"/>
          <w:color w:val="000000"/>
          <w:sz w:val="32"/>
          <w:szCs w:val="32"/>
        </w:rPr>
      </w:pPr>
      <w:r>
        <w:rPr>
          <w:rFonts w:ascii="仿宋_GB2312" w:eastAsia="仿宋_GB2312"/>
          <w:color w:val="000000"/>
          <w:sz w:val="32"/>
          <w:szCs w:val="32"/>
        </w:rPr>
        <w:t>1</w:t>
      </w:r>
      <w:r>
        <w:rPr>
          <w:rFonts w:hint="eastAsia" w:ascii="仿宋_GB2312" w:eastAsia="仿宋_GB2312"/>
          <w:color w:val="000000"/>
          <w:sz w:val="32"/>
          <w:szCs w:val="32"/>
          <w:lang w:val="en-US" w:eastAsia="zh-CN"/>
        </w:rPr>
        <w:t>2</w:t>
      </w:r>
      <w:r>
        <w:rPr>
          <w:rFonts w:ascii="仿宋_GB2312" w:eastAsia="仿宋_GB2312"/>
          <w:color w:val="000000"/>
          <w:sz w:val="32"/>
          <w:szCs w:val="32"/>
        </w:rPr>
        <w:t>.</w:t>
      </w:r>
      <w:r>
        <w:rPr>
          <w:rStyle w:val="15"/>
          <w:rFonts w:hint="eastAsia" w:ascii="仿宋" w:hAnsi="仿宋" w:eastAsia="仿宋"/>
          <w:b w:val="0"/>
          <w:bCs/>
          <w:color w:val="000000"/>
          <w:sz w:val="32"/>
          <w:szCs w:val="32"/>
        </w:rPr>
        <w:t>卫生健康（类）行政事业单位医疗（款）行政单位医疗（项）:</w:t>
      </w:r>
      <w:r>
        <w:rPr>
          <w:rFonts w:hint="eastAsia" w:ascii="仿宋_GB2312" w:eastAsia="仿宋_GB2312"/>
          <w:color w:val="000000"/>
          <w:sz w:val="32"/>
          <w:szCs w:val="32"/>
        </w:rPr>
        <w:t>指</w:t>
      </w:r>
      <w:r>
        <w:rPr>
          <w:rFonts w:hint="eastAsia" w:ascii="仿宋_GB2312" w:eastAsia="仿宋_GB2312"/>
          <w:color w:val="000000"/>
          <w:sz w:val="32"/>
          <w:szCs w:val="32"/>
          <w:lang w:eastAsia="zh-CN"/>
        </w:rPr>
        <w:t>反映财政部门安排的行政单位（包括实行公务员管理的事业单位）基本医疗保险缴费经费，未参加医疗保险的行政单位的公费医疗经费，按国家规定享受离休人员、红军老战士待遇人员的医疗经费</w:t>
      </w:r>
      <w:r>
        <w:rPr>
          <w:rFonts w:hint="eastAsia" w:ascii="仿宋_GB2312" w:eastAsia="仿宋_GB2312"/>
          <w:color w:val="000000"/>
          <w:sz w:val="32"/>
          <w:szCs w:val="32"/>
        </w:rPr>
        <w:t>。</w:t>
      </w:r>
    </w:p>
    <w:p>
      <w:pPr>
        <w:spacing w:line="600" w:lineRule="exact"/>
        <w:ind w:firstLine="640"/>
        <w:rPr>
          <w:rFonts w:ascii="仿宋" w:hAnsi="仿宋" w:eastAsia="仿宋"/>
          <w:b/>
          <w:color w:val="000000"/>
          <w:sz w:val="32"/>
          <w:szCs w:val="32"/>
          <w:highlight w:val="none"/>
        </w:rPr>
      </w:pPr>
      <w:r>
        <w:rPr>
          <w:rFonts w:hint="eastAsia" w:ascii="仿宋" w:hAnsi="仿宋" w:eastAsia="仿宋"/>
          <w:b/>
          <w:color w:val="000000"/>
          <w:sz w:val="32"/>
          <w:szCs w:val="32"/>
        </w:rPr>
        <w:t>（解释本部门决</w:t>
      </w:r>
      <w:r>
        <w:rPr>
          <w:rFonts w:hint="eastAsia" w:ascii="仿宋" w:hAnsi="仿宋" w:eastAsia="仿宋"/>
          <w:b/>
          <w:color w:val="000000"/>
          <w:sz w:val="32"/>
          <w:szCs w:val="32"/>
          <w:highlight w:val="none"/>
        </w:rPr>
        <w:t>算报表中全部功能分类科目至项级，请参照《</w:t>
      </w:r>
      <w:r>
        <w:rPr>
          <w:rFonts w:ascii="仿宋" w:hAnsi="仿宋" w:eastAsia="仿宋"/>
          <w:b/>
          <w:color w:val="000000"/>
          <w:sz w:val="32"/>
          <w:szCs w:val="32"/>
          <w:highlight w:val="none"/>
        </w:rPr>
        <w:t>20</w:t>
      </w:r>
      <w:r>
        <w:rPr>
          <w:rFonts w:hint="eastAsia" w:ascii="仿宋" w:hAnsi="仿宋" w:eastAsia="仿宋"/>
          <w:b/>
          <w:color w:val="000000"/>
          <w:sz w:val="32"/>
          <w:szCs w:val="32"/>
          <w:highlight w:val="none"/>
        </w:rPr>
        <w:t>2</w:t>
      </w:r>
      <w:r>
        <w:rPr>
          <w:rFonts w:hint="eastAsia" w:ascii="仿宋" w:hAnsi="仿宋" w:eastAsia="仿宋"/>
          <w:b/>
          <w:color w:val="000000"/>
          <w:sz w:val="32"/>
          <w:szCs w:val="32"/>
          <w:highlight w:val="none"/>
          <w:lang w:val="en-US" w:eastAsia="zh-CN"/>
        </w:rPr>
        <w:t>1</w:t>
      </w:r>
      <w:r>
        <w:rPr>
          <w:rFonts w:hint="eastAsia" w:ascii="仿宋" w:hAnsi="仿宋" w:eastAsia="仿宋"/>
          <w:b/>
          <w:color w:val="000000"/>
          <w:sz w:val="32"/>
          <w:szCs w:val="32"/>
          <w:highlight w:val="none"/>
        </w:rPr>
        <w:t>年政府收支分类科目》</w:t>
      </w:r>
      <w:r>
        <w:rPr>
          <w:rFonts w:hint="eastAsia" w:ascii="仿宋" w:hAnsi="仿宋" w:eastAsia="仿宋"/>
          <w:b/>
          <w:color w:val="000000"/>
          <w:sz w:val="32"/>
          <w:szCs w:val="32"/>
          <w:highlight w:val="none"/>
          <w:lang w:eastAsia="zh-CN"/>
        </w:rPr>
        <w:t>编写</w:t>
      </w:r>
      <w:r>
        <w:rPr>
          <w:rFonts w:hint="eastAsia" w:ascii="仿宋" w:hAnsi="仿宋" w:eastAsia="仿宋"/>
          <w:b/>
          <w:color w:val="000000"/>
          <w:sz w:val="32"/>
          <w:szCs w:val="32"/>
          <w:highlight w:val="none"/>
        </w:rPr>
        <w:t>。）</w:t>
      </w:r>
    </w:p>
    <w:p>
      <w:pPr>
        <w:ind w:firstLine="640" w:firstLineChars="200"/>
        <w:rPr>
          <w:rFonts w:ascii="仿宋_GB2312" w:eastAsia="仿宋_GB2312"/>
          <w:color w:val="000000"/>
          <w:sz w:val="32"/>
          <w:szCs w:val="32"/>
        </w:rPr>
      </w:pPr>
      <w:r>
        <w:rPr>
          <w:rFonts w:hint="eastAsia" w:ascii="仿宋_GB2312" w:eastAsia="仿宋_GB2312"/>
          <w:color w:val="000000"/>
          <w:sz w:val="32"/>
          <w:szCs w:val="32"/>
          <w:lang w:val="en-US" w:eastAsia="zh-CN"/>
        </w:rPr>
        <w:t>13</w:t>
      </w:r>
      <w:r>
        <w:rPr>
          <w:rFonts w:ascii="仿宋_GB2312" w:eastAsia="仿宋_GB2312"/>
          <w:color w:val="000000"/>
          <w:sz w:val="32"/>
          <w:szCs w:val="32"/>
        </w:rPr>
        <w:t>.</w:t>
      </w:r>
      <w:r>
        <w:rPr>
          <w:rFonts w:hint="eastAsia" w:ascii="仿宋_GB2312" w:eastAsia="仿宋_GB2312"/>
          <w:color w:val="000000"/>
          <w:sz w:val="32"/>
          <w:szCs w:val="32"/>
        </w:rPr>
        <w:t>基本支出：指为保障机构正常运转、完成日常工作任务而发生的人员支出和公用支出。</w:t>
      </w:r>
    </w:p>
    <w:p>
      <w:pPr>
        <w:ind w:firstLine="640" w:firstLineChars="200"/>
        <w:rPr>
          <w:rFonts w:ascii="仿宋_GB2312" w:eastAsia="仿宋_GB2312"/>
          <w:color w:val="000000"/>
          <w:sz w:val="32"/>
          <w:szCs w:val="32"/>
        </w:rPr>
      </w:pPr>
      <w:r>
        <w:rPr>
          <w:rFonts w:hint="eastAsia" w:ascii="仿宋_GB2312" w:eastAsia="仿宋_GB2312"/>
          <w:color w:val="000000"/>
          <w:sz w:val="32"/>
          <w:szCs w:val="32"/>
          <w:lang w:val="en-US" w:eastAsia="zh-CN"/>
        </w:rPr>
        <w:t>14</w:t>
      </w:r>
      <w:r>
        <w:rPr>
          <w:rFonts w:ascii="仿宋_GB2312" w:eastAsia="仿宋_GB2312"/>
          <w:color w:val="000000"/>
          <w:sz w:val="32"/>
          <w:szCs w:val="32"/>
        </w:rPr>
        <w:t>.</w:t>
      </w:r>
      <w:r>
        <w:rPr>
          <w:rFonts w:hint="eastAsia" w:ascii="仿宋_GB2312" w:eastAsia="仿宋_GB2312"/>
          <w:color w:val="000000"/>
          <w:sz w:val="32"/>
          <w:szCs w:val="32"/>
        </w:rPr>
        <w:t>项目支出：指在基本支出之外为完成特定行政任务和事业发展目标所发生的支出。</w:t>
      </w:r>
      <w:r>
        <w:rPr>
          <w:rFonts w:ascii="仿宋_GB2312" w:eastAsia="仿宋_GB2312"/>
          <w:color w:val="000000"/>
          <w:sz w:val="32"/>
          <w:szCs w:val="32"/>
        </w:rPr>
        <w:t xml:space="preserve"> </w:t>
      </w:r>
    </w:p>
    <w:p>
      <w:pPr>
        <w:ind w:firstLine="640" w:firstLineChars="200"/>
        <w:rPr>
          <w:rFonts w:ascii="仿宋_GB2312" w:eastAsia="仿宋_GB2312"/>
          <w:color w:val="000000"/>
          <w:sz w:val="32"/>
          <w:szCs w:val="32"/>
        </w:rPr>
      </w:pPr>
      <w:r>
        <w:rPr>
          <w:rFonts w:hint="eastAsia" w:ascii="仿宋_GB2312" w:eastAsia="仿宋_GB2312"/>
          <w:color w:val="000000"/>
          <w:sz w:val="32"/>
          <w:szCs w:val="32"/>
          <w:lang w:val="en-US" w:eastAsia="zh-CN"/>
        </w:rPr>
        <w:t>15</w:t>
      </w:r>
      <w:r>
        <w:rPr>
          <w:rFonts w:ascii="仿宋_GB2312" w:eastAsia="仿宋_GB2312"/>
          <w:color w:val="000000"/>
          <w:sz w:val="32"/>
          <w:szCs w:val="32"/>
        </w:rPr>
        <w:t>.</w:t>
      </w:r>
      <w:r>
        <w:rPr>
          <w:rFonts w:hint="eastAsia" w:ascii="仿宋_GB2312" w:eastAsia="仿宋_GB2312"/>
          <w:color w:val="000000"/>
          <w:sz w:val="32"/>
          <w:szCs w:val="32"/>
        </w:rPr>
        <w:t>经营支出：指事业单位在专业业务活动及其辅助活动之外开展非独立核算经营活动发生的支出。</w:t>
      </w:r>
    </w:p>
    <w:p>
      <w:pPr>
        <w:pStyle w:val="23"/>
        <w:spacing w:line="560" w:lineRule="exact"/>
        <w:ind w:firstLine="640" w:firstLineChars="200"/>
        <w:rPr>
          <w:rFonts w:ascii="仿宋_GB2312" w:eastAsia="仿宋_GB2312"/>
          <w:sz w:val="32"/>
          <w:szCs w:val="32"/>
        </w:rPr>
      </w:pPr>
      <w:r>
        <w:rPr>
          <w:rFonts w:hint="eastAsia" w:ascii="仿宋_GB2312" w:eastAsia="仿宋_GB2312"/>
          <w:sz w:val="32"/>
          <w:szCs w:val="32"/>
          <w:lang w:val="en-US" w:eastAsia="zh-CN"/>
        </w:rPr>
        <w:t>16</w:t>
      </w:r>
      <w:r>
        <w:rPr>
          <w:rFonts w:ascii="仿宋_GB2312" w:eastAsia="仿宋_GB2312"/>
          <w:sz w:val="32"/>
          <w:szCs w:val="32"/>
        </w:rPr>
        <w:t>.</w:t>
      </w:r>
      <w:r>
        <w:rPr>
          <w:rFonts w:hint="eastAsia" w:ascii="仿宋_GB2312" w:eastAsia="仿宋_GB2312"/>
          <w:sz w:val="32"/>
          <w:szCs w:val="32"/>
        </w:rPr>
        <w:t>“三公”经费：指部门用财政拨款安排的因公出国（境）费、公务用车购置及运行费和公务接待费。其中，因公出国（境）费反映单位公务出国（境）的国际旅费、国外城市间交通费、住宿费、伙食费、培训费、公杂费等支出；公务用车购置及运行费反映单位公务用车车辆购置支出（含车辆购置税）及租用费、燃料费、维修费、过路过桥费、保险费等支出；公务接待费反映单位按规定开支的各类公务接待（含外宾接待）支出。</w:t>
      </w:r>
    </w:p>
    <w:p>
      <w:pPr>
        <w:pStyle w:val="23"/>
        <w:spacing w:line="560" w:lineRule="exact"/>
        <w:ind w:firstLine="640" w:firstLineChars="200"/>
        <w:rPr>
          <w:rFonts w:ascii="仿宋_GB2312" w:eastAsia="仿宋_GB2312"/>
          <w:sz w:val="32"/>
          <w:szCs w:val="32"/>
        </w:rPr>
      </w:pPr>
      <w:r>
        <w:rPr>
          <w:rFonts w:hint="eastAsia" w:ascii="仿宋_GB2312" w:eastAsia="仿宋_GB2312"/>
          <w:sz w:val="32"/>
          <w:szCs w:val="32"/>
          <w:lang w:val="en-US" w:eastAsia="zh-CN"/>
        </w:rPr>
        <w:t>17</w:t>
      </w:r>
      <w:r>
        <w:rPr>
          <w:rFonts w:ascii="仿宋_GB2312" w:eastAsia="仿宋_GB2312"/>
          <w:sz w:val="32"/>
          <w:szCs w:val="32"/>
        </w:rPr>
        <w:t>.</w:t>
      </w:r>
      <w:r>
        <w:rPr>
          <w:rFonts w:hint="eastAsia" w:ascii="仿宋_GB2312" w:eastAsia="仿宋_GB2312"/>
          <w:sz w:val="32"/>
          <w:szCs w:val="32"/>
        </w:rPr>
        <w:t>机关运行经费：为保障行政单位（含参照公务员法管理的事业单位）运行用于购买货物和服务的各项资金，包括办公及印刷费、邮电费、差旅费、会议费、福利费、日常维修费、专用材料及一般设备购置费、办公用房水电费、办公用房取暖费、办公用房物业管理费、公务用车运行维护费以及其他费用。</w:t>
      </w:r>
    </w:p>
    <w:p>
      <w:pPr>
        <w:ind w:firstLine="642" w:firstLineChars="200"/>
        <w:rPr>
          <w:rFonts w:ascii="仿宋" w:hAnsi="仿宋" w:eastAsia="仿宋"/>
          <w:b/>
          <w:color w:val="000000"/>
          <w:sz w:val="32"/>
          <w:szCs w:val="32"/>
          <w:highlight w:val="none"/>
        </w:rPr>
      </w:pPr>
      <w:r>
        <w:rPr>
          <w:rFonts w:hint="eastAsia" w:ascii="仿宋" w:hAnsi="仿宋" w:eastAsia="仿宋"/>
          <w:b/>
          <w:color w:val="000000"/>
          <w:sz w:val="32"/>
          <w:szCs w:val="32"/>
          <w:highlight w:val="none"/>
        </w:rPr>
        <w:t>（名词解释部分请根据各部门实际列支情况罗列，并根据本部门职责职能增减名词解释内容。）</w:t>
      </w:r>
    </w:p>
    <w:p>
      <w:pPr>
        <w:spacing w:line="600" w:lineRule="exact"/>
        <w:jc w:val="center"/>
        <w:outlineLvl w:val="0"/>
        <w:rPr>
          <w:rStyle w:val="25"/>
          <w:rFonts w:ascii="黑体" w:hAnsi="黑体" w:eastAsia="黑体"/>
          <w:b w:val="0"/>
        </w:rPr>
      </w:pPr>
      <w:bookmarkStart w:id="142" w:name="_Toc15377226"/>
      <w:r>
        <w:rPr>
          <w:rFonts w:ascii="宋体"/>
          <w:b/>
          <w:color w:val="000000"/>
          <w:sz w:val="44"/>
          <w:szCs w:val="44"/>
        </w:rPr>
        <w:br w:type="page"/>
      </w:r>
      <w:bookmarkStart w:id="143" w:name="_Toc15396614"/>
      <w:bookmarkStart w:id="144" w:name="_Toc420866798_WPSOffice_Level1"/>
      <w:r>
        <w:rPr>
          <w:rFonts w:hint="eastAsia" w:ascii="黑体" w:hAnsi="黑体" w:eastAsia="黑体"/>
          <w:color w:val="000000"/>
          <w:sz w:val="44"/>
          <w:szCs w:val="44"/>
        </w:rPr>
        <w:t>第</w:t>
      </w:r>
      <w:r>
        <w:rPr>
          <w:rStyle w:val="25"/>
          <w:rFonts w:hint="eastAsia" w:ascii="黑体" w:hAnsi="黑体" w:eastAsia="黑体"/>
          <w:b w:val="0"/>
        </w:rPr>
        <w:t>四部分 附件</w:t>
      </w:r>
      <w:bookmarkEnd w:id="143"/>
      <w:bookmarkEnd w:id="144"/>
    </w:p>
    <w:p>
      <w:pPr>
        <w:spacing w:line="600" w:lineRule="exact"/>
        <w:jc w:val="left"/>
        <w:outlineLvl w:val="0"/>
        <w:rPr>
          <w:rFonts w:ascii="方正小标宋简体" w:hAnsi="方正小标宋简体" w:eastAsia="方正小标宋简体" w:cs="方正小标宋简体"/>
          <w:sz w:val="32"/>
          <w:szCs w:val="32"/>
        </w:rPr>
      </w:pPr>
      <w:r>
        <w:rPr>
          <w:rFonts w:hint="eastAsia" w:ascii="黑体" w:hAnsi="黑体" w:eastAsia="黑体" w:cs="黑体"/>
          <w:sz w:val="32"/>
          <w:szCs w:val="32"/>
        </w:rPr>
        <w:t>附件1</w:t>
      </w:r>
    </w:p>
    <w:p>
      <w:pPr>
        <w:spacing w:line="580" w:lineRule="exact"/>
        <w:jc w:val="center"/>
        <w:rPr>
          <w:rFonts w:ascii="方正小标宋简体" w:hAnsi="方正小标宋简体" w:eastAsia="方正小标宋简体" w:cs="方正小标宋简体"/>
          <w:sz w:val="44"/>
          <w:szCs w:val="44"/>
        </w:rPr>
      </w:pPr>
    </w:p>
    <w:p>
      <w:pPr>
        <w:widowControl/>
        <w:spacing w:line="580" w:lineRule="exact"/>
        <w:contextualSpacing/>
        <w:jc w:val="center"/>
        <w:rPr>
          <w:rFonts w:hint="eastAsia" w:ascii="方正小标宋_GBK" w:hAnsi="宋体" w:eastAsia="方正小标宋_GBK"/>
          <w:sz w:val="44"/>
          <w:szCs w:val="44"/>
          <w:shd w:val="clear" w:color="auto" w:fill="FFFFFF"/>
          <w:lang w:eastAsia="zh-CN"/>
        </w:rPr>
      </w:pPr>
      <w:bookmarkStart w:id="145" w:name="_Toc1555227275_WPSOffice_Level2"/>
      <w:r>
        <w:rPr>
          <w:rFonts w:hint="eastAsia" w:ascii="方正小标宋_GBK" w:hAnsi="宋体" w:eastAsia="方正小标宋_GBK"/>
          <w:sz w:val="44"/>
          <w:szCs w:val="44"/>
          <w:shd w:val="clear" w:color="auto" w:fill="FFFFFF"/>
          <w:lang w:eastAsia="zh-CN"/>
        </w:rPr>
        <w:t>中共广安市委党校</w:t>
      </w:r>
      <w:bookmarkEnd w:id="145"/>
    </w:p>
    <w:p>
      <w:pPr>
        <w:widowControl/>
        <w:spacing w:line="580" w:lineRule="exact"/>
        <w:contextualSpacing/>
        <w:jc w:val="center"/>
        <w:rPr>
          <w:rFonts w:ascii="方正小标宋_GBK" w:eastAsia="方正小标宋_GBK"/>
          <w:sz w:val="44"/>
          <w:szCs w:val="44"/>
          <w:shd w:val="clear" w:color="auto" w:fill="FFFFFF"/>
        </w:rPr>
      </w:pPr>
      <w:bookmarkStart w:id="146" w:name="_Toc1130828161_WPSOffice_Level2"/>
      <w:r>
        <w:rPr>
          <w:rFonts w:hint="eastAsia" w:ascii="方正小标宋_GBK" w:hAnsi="宋体" w:eastAsia="方正小标宋_GBK"/>
          <w:sz w:val="44"/>
          <w:szCs w:val="44"/>
          <w:shd w:val="clear" w:color="auto" w:fill="FFFFFF"/>
        </w:rPr>
        <w:t>202</w:t>
      </w:r>
      <w:r>
        <w:rPr>
          <w:rFonts w:hint="eastAsia" w:ascii="方正小标宋_GBK" w:hAnsi="宋体" w:eastAsia="方正小标宋_GBK"/>
          <w:sz w:val="44"/>
          <w:szCs w:val="44"/>
          <w:shd w:val="clear" w:color="auto" w:fill="FFFFFF"/>
          <w:lang w:val="en-US" w:eastAsia="zh-CN"/>
        </w:rPr>
        <w:t>1</w:t>
      </w:r>
      <w:r>
        <w:rPr>
          <w:rFonts w:hint="eastAsia" w:ascii="方正小标宋_GBK" w:hAnsi="宋体" w:eastAsia="方正小标宋_GBK"/>
          <w:sz w:val="44"/>
          <w:szCs w:val="44"/>
          <w:shd w:val="clear" w:color="auto" w:fill="FFFFFF"/>
        </w:rPr>
        <w:t>年整体支出绩效</w:t>
      </w:r>
      <w:r>
        <w:rPr>
          <w:rFonts w:hint="eastAsia" w:ascii="方正小标宋_GBK" w:hAnsi="宋体" w:eastAsia="方正小标宋_GBK"/>
          <w:sz w:val="44"/>
          <w:szCs w:val="44"/>
          <w:shd w:val="clear" w:color="auto" w:fill="FFFFFF"/>
          <w:lang w:val="en-US" w:eastAsia="zh-CN"/>
        </w:rPr>
        <w:t>自评</w:t>
      </w:r>
      <w:r>
        <w:rPr>
          <w:rFonts w:hint="eastAsia" w:ascii="方正小标宋_GBK" w:hAnsi="宋体" w:eastAsia="方正小标宋_GBK"/>
          <w:sz w:val="44"/>
          <w:szCs w:val="44"/>
          <w:shd w:val="clear" w:color="auto" w:fill="FFFFFF"/>
        </w:rPr>
        <w:t>报告</w:t>
      </w:r>
      <w:bookmarkEnd w:id="146"/>
    </w:p>
    <w:p>
      <w:pPr>
        <w:keepNext w:val="0"/>
        <w:keepLines w:val="0"/>
        <w:pageBreakBefore w:val="0"/>
        <w:widowControl w:val="0"/>
        <w:kinsoku/>
        <w:wordWrap/>
        <w:overflowPunct/>
        <w:topLinePunct w:val="0"/>
        <w:autoSpaceDE/>
        <w:autoSpaceDN/>
        <w:bidi w:val="0"/>
        <w:adjustRightInd w:val="0"/>
        <w:snapToGrid w:val="0"/>
        <w:spacing w:line="400" w:lineRule="exact"/>
        <w:ind w:firstLine="660" w:firstLineChars="200"/>
        <w:contextualSpacing/>
        <w:jc w:val="left"/>
        <w:textAlignment w:val="auto"/>
        <w:rPr>
          <w:rFonts w:ascii="方正仿宋_GBK" w:hAnsi="宋体" w:eastAsia="方正仿宋_GBK" w:cs="宋体"/>
          <w:color w:val="000000"/>
          <w:kern w:val="0"/>
          <w:sz w:val="33"/>
          <w:szCs w:val="33"/>
          <w:shd w:val="clear" w:color="auto" w:fill="FFFFFF"/>
        </w:rPr>
      </w:pPr>
    </w:p>
    <w:p>
      <w:pPr>
        <w:keepNext w:val="0"/>
        <w:keepLines w:val="0"/>
        <w:pageBreakBefore w:val="0"/>
        <w:widowControl/>
        <w:kinsoku/>
        <w:overflowPunct/>
        <w:topLinePunct w:val="0"/>
        <w:autoSpaceDE/>
        <w:autoSpaceDN/>
        <w:bidi w:val="0"/>
        <w:adjustRightInd w:val="0"/>
        <w:snapToGrid w:val="0"/>
        <w:spacing w:line="590" w:lineRule="exact"/>
        <w:ind w:firstLine="660" w:firstLineChars="200"/>
        <w:contextualSpacing/>
        <w:jc w:val="left"/>
        <w:textAlignment w:val="auto"/>
        <w:rPr>
          <w:rFonts w:hint="eastAsia" w:ascii="方正黑体_GBK" w:hAnsi="方正黑体_GBK" w:eastAsia="方正黑体_GBK" w:cs="方正黑体_GBK"/>
          <w:color w:val="000000"/>
          <w:kern w:val="0"/>
          <w:sz w:val="33"/>
          <w:szCs w:val="33"/>
          <w:shd w:val="clear" w:color="auto" w:fill="FFFFFF"/>
          <w:lang w:val="zh-CN"/>
        </w:rPr>
      </w:pPr>
      <w:bookmarkStart w:id="147" w:name="_Toc695450858_WPSOffice_Level2"/>
      <w:r>
        <w:rPr>
          <w:rFonts w:hint="eastAsia" w:ascii="方正黑体_GBK" w:hAnsi="方正黑体_GBK" w:eastAsia="方正黑体_GBK" w:cs="方正黑体_GBK"/>
          <w:color w:val="000000"/>
          <w:kern w:val="0"/>
          <w:sz w:val="33"/>
          <w:szCs w:val="33"/>
          <w:shd w:val="clear" w:color="auto" w:fill="FFFFFF"/>
        </w:rPr>
        <w:t>一、</w:t>
      </w:r>
      <w:r>
        <w:rPr>
          <w:rFonts w:hint="eastAsia" w:ascii="方正黑体_GBK" w:hAnsi="方正黑体_GBK" w:eastAsia="方正黑体_GBK" w:cs="方正黑体_GBK"/>
          <w:color w:val="000000"/>
          <w:kern w:val="0"/>
          <w:sz w:val="33"/>
          <w:szCs w:val="33"/>
          <w:shd w:val="clear" w:color="auto" w:fill="FFFFFF"/>
          <w:lang w:val="zh-CN"/>
        </w:rPr>
        <w:t>部门（单位）概况</w:t>
      </w:r>
      <w:bookmarkEnd w:id="147"/>
    </w:p>
    <w:p>
      <w:pPr>
        <w:keepNext w:val="0"/>
        <w:keepLines w:val="0"/>
        <w:pageBreakBefore w:val="0"/>
        <w:widowControl/>
        <w:kinsoku/>
        <w:overflowPunct/>
        <w:topLinePunct w:val="0"/>
        <w:autoSpaceDE/>
        <w:autoSpaceDN/>
        <w:bidi w:val="0"/>
        <w:adjustRightInd w:val="0"/>
        <w:snapToGrid w:val="0"/>
        <w:spacing w:line="590" w:lineRule="exact"/>
        <w:ind w:firstLine="662" w:firstLineChars="200"/>
        <w:contextualSpacing/>
        <w:jc w:val="left"/>
        <w:textAlignment w:val="auto"/>
        <w:rPr>
          <w:rFonts w:hint="eastAsia" w:ascii="方正楷体_GBK" w:hAnsi="方正楷体_GBK" w:eastAsia="方正楷体_GBK" w:cs="方正楷体_GBK"/>
          <w:b/>
          <w:bCs/>
          <w:color w:val="000000"/>
          <w:kern w:val="0"/>
          <w:sz w:val="33"/>
          <w:szCs w:val="33"/>
          <w:shd w:val="clear" w:color="auto" w:fill="FFFFFF"/>
          <w:lang w:val="zh-CN"/>
        </w:rPr>
      </w:pPr>
      <w:bookmarkStart w:id="148" w:name="_Toc597395485_WPSOffice_Level3"/>
      <w:r>
        <w:rPr>
          <w:rFonts w:hint="eastAsia" w:ascii="方正楷体_GBK" w:hAnsi="方正楷体_GBK" w:eastAsia="方正楷体_GBK" w:cs="方正楷体_GBK"/>
          <w:b/>
          <w:bCs/>
          <w:color w:val="000000"/>
          <w:kern w:val="0"/>
          <w:sz w:val="33"/>
          <w:szCs w:val="33"/>
          <w:shd w:val="clear" w:color="auto" w:fill="FFFFFF"/>
          <w:lang w:val="zh-CN"/>
        </w:rPr>
        <w:t>（一）机构组成</w:t>
      </w:r>
      <w:bookmarkEnd w:id="148"/>
    </w:p>
    <w:p>
      <w:pPr>
        <w:keepNext w:val="0"/>
        <w:keepLines w:val="0"/>
        <w:pageBreakBefore w:val="0"/>
        <w:widowControl/>
        <w:kinsoku/>
        <w:overflowPunct/>
        <w:topLinePunct w:val="0"/>
        <w:autoSpaceDE/>
        <w:autoSpaceDN/>
        <w:bidi w:val="0"/>
        <w:adjustRightInd w:val="0"/>
        <w:snapToGrid w:val="0"/>
        <w:spacing w:line="590" w:lineRule="exact"/>
        <w:ind w:firstLine="660" w:firstLineChars="200"/>
        <w:contextualSpacing/>
        <w:jc w:val="both"/>
        <w:textAlignment w:val="auto"/>
        <w:rPr>
          <w:rFonts w:hint="default" w:ascii="Times New Roman" w:hAnsi="Times New Roman" w:eastAsia="方正仿宋_GBK" w:cs="Times New Roman"/>
          <w:color w:val="000000"/>
          <w:kern w:val="0"/>
          <w:sz w:val="33"/>
          <w:szCs w:val="33"/>
          <w:shd w:val="clear" w:color="auto" w:fill="FFFFFF"/>
          <w:lang w:val="zh-CN"/>
        </w:rPr>
      </w:pPr>
      <w:r>
        <w:rPr>
          <w:rFonts w:hint="default" w:ascii="Times New Roman" w:hAnsi="Times New Roman" w:eastAsia="方正仿宋_GBK" w:cs="Times New Roman"/>
          <w:color w:val="000000"/>
          <w:kern w:val="0"/>
          <w:sz w:val="33"/>
          <w:szCs w:val="33"/>
          <w:shd w:val="clear" w:color="auto" w:fill="FFFFFF"/>
          <w:lang w:val="en-US" w:eastAsia="zh-CN"/>
        </w:rPr>
        <w:t>广安市委党校属一级预算单位。2021年内设机构13个有办公室、教务部、培训部、科研部、马克思主义基础理论教研部、党史党建教研部、经济与管理教研部、对外合作部、邓小平研究中心、信息技术部、业务指导部、财务室和后勤保障部。</w:t>
      </w:r>
    </w:p>
    <w:p>
      <w:pPr>
        <w:keepNext w:val="0"/>
        <w:keepLines w:val="0"/>
        <w:pageBreakBefore w:val="0"/>
        <w:widowControl w:val="0"/>
        <w:numPr>
          <w:ilvl w:val="0"/>
          <w:numId w:val="4"/>
        </w:numPr>
        <w:kinsoku/>
        <w:wordWrap/>
        <w:overflowPunct/>
        <w:topLinePunct w:val="0"/>
        <w:autoSpaceDE/>
        <w:autoSpaceDN/>
        <w:bidi w:val="0"/>
        <w:adjustRightInd w:val="0"/>
        <w:snapToGrid w:val="0"/>
        <w:spacing w:line="590" w:lineRule="exact"/>
        <w:ind w:firstLine="662" w:firstLineChars="200"/>
        <w:contextualSpacing/>
        <w:jc w:val="left"/>
        <w:textAlignment w:val="auto"/>
        <w:rPr>
          <w:rFonts w:hint="eastAsia" w:ascii="方正楷体_GBK" w:hAnsi="方正楷体_GBK" w:eastAsia="方正楷体_GBK" w:cs="方正楷体_GBK"/>
          <w:b/>
          <w:bCs/>
          <w:color w:val="000000"/>
          <w:kern w:val="0"/>
          <w:sz w:val="33"/>
          <w:szCs w:val="33"/>
          <w:shd w:val="clear" w:color="auto" w:fill="FFFFFF"/>
          <w:lang w:val="zh-CN"/>
        </w:rPr>
      </w:pPr>
      <w:bookmarkStart w:id="149" w:name="_Toc1367350056_WPSOffice_Level3"/>
      <w:r>
        <w:rPr>
          <w:rFonts w:hint="eastAsia" w:ascii="方正楷体_GBK" w:hAnsi="方正楷体_GBK" w:eastAsia="方正楷体_GBK" w:cs="方正楷体_GBK"/>
          <w:b/>
          <w:bCs/>
          <w:color w:val="000000"/>
          <w:kern w:val="0"/>
          <w:sz w:val="33"/>
          <w:szCs w:val="33"/>
          <w:shd w:val="clear" w:color="auto" w:fill="FFFFFF"/>
          <w:lang w:val="zh-CN"/>
        </w:rPr>
        <w:t>机构职能</w:t>
      </w:r>
      <w:bookmarkEnd w:id="149"/>
    </w:p>
    <w:p>
      <w:pPr>
        <w:keepNext w:val="0"/>
        <w:keepLines w:val="0"/>
        <w:pageBreakBefore w:val="0"/>
        <w:widowControl w:val="0"/>
        <w:numPr>
          <w:ilvl w:val="0"/>
          <w:numId w:val="0"/>
        </w:numPr>
        <w:kinsoku/>
        <w:wordWrap/>
        <w:overflowPunct/>
        <w:topLinePunct w:val="0"/>
        <w:autoSpaceDE/>
        <w:autoSpaceDN/>
        <w:bidi w:val="0"/>
        <w:adjustRightInd w:val="0"/>
        <w:snapToGrid w:val="0"/>
        <w:spacing w:line="590" w:lineRule="exact"/>
        <w:ind w:firstLine="660" w:firstLineChars="200"/>
        <w:contextualSpacing/>
        <w:jc w:val="both"/>
        <w:textAlignment w:val="auto"/>
        <w:rPr>
          <w:rFonts w:hint="default" w:ascii="Times New Roman" w:hAnsi="Times New Roman" w:eastAsia="方正仿宋_GBK" w:cs="Times New Roman"/>
          <w:color w:val="000000"/>
          <w:kern w:val="0"/>
          <w:sz w:val="33"/>
          <w:szCs w:val="33"/>
          <w:shd w:val="clear" w:color="auto" w:fill="FFFFFF"/>
          <w:lang w:val="en-US" w:eastAsia="zh-CN"/>
        </w:rPr>
      </w:pPr>
      <w:r>
        <w:rPr>
          <w:rFonts w:hint="default" w:ascii="Times New Roman" w:hAnsi="Times New Roman" w:eastAsia="方正仿宋_GBK" w:cs="Times New Roman"/>
          <w:color w:val="000000"/>
          <w:kern w:val="0"/>
          <w:sz w:val="33"/>
          <w:szCs w:val="33"/>
          <w:shd w:val="clear" w:color="auto" w:fill="FFFFFF"/>
          <w:lang w:val="en-US" w:eastAsia="zh-CN"/>
        </w:rPr>
        <w:t xml:space="preserve">广安市委党校是市委直接领导下培养党员领导干部和理论干部的学校，是市委的重要部门，是培训轮训党员领导干部的主渠道，是党的哲学社会科学研究机构。基本职能如下： </w:t>
      </w:r>
    </w:p>
    <w:p>
      <w:pPr>
        <w:keepNext w:val="0"/>
        <w:keepLines w:val="0"/>
        <w:pageBreakBefore w:val="0"/>
        <w:widowControl/>
        <w:numPr>
          <w:ilvl w:val="0"/>
          <w:numId w:val="0"/>
        </w:numPr>
        <w:kinsoku/>
        <w:wordWrap/>
        <w:overflowPunct/>
        <w:topLinePunct w:val="0"/>
        <w:autoSpaceDE/>
        <w:autoSpaceDN/>
        <w:bidi w:val="0"/>
        <w:adjustRightInd w:val="0"/>
        <w:snapToGrid w:val="0"/>
        <w:spacing w:line="590" w:lineRule="exact"/>
        <w:ind w:firstLine="662" w:firstLineChars="200"/>
        <w:contextualSpacing/>
        <w:jc w:val="both"/>
        <w:textAlignment w:val="auto"/>
        <w:rPr>
          <w:rFonts w:hint="default" w:ascii="Times New Roman" w:hAnsi="Times New Roman" w:eastAsia="方正仿宋_GBK" w:cs="Times New Roman"/>
          <w:color w:val="000000"/>
          <w:kern w:val="0"/>
          <w:sz w:val="33"/>
          <w:szCs w:val="33"/>
          <w:shd w:val="clear" w:color="auto" w:fill="FFFFFF"/>
          <w:lang w:val="en-US" w:eastAsia="zh-CN"/>
        </w:rPr>
      </w:pPr>
      <w:r>
        <w:rPr>
          <w:rFonts w:hint="default" w:ascii="Times New Roman" w:hAnsi="Times New Roman" w:eastAsia="方正仿宋_GBK" w:cs="Times New Roman"/>
          <w:b/>
          <w:bCs/>
          <w:color w:val="000000"/>
          <w:kern w:val="0"/>
          <w:sz w:val="33"/>
          <w:szCs w:val="33"/>
          <w:shd w:val="clear" w:color="auto" w:fill="FFFFFF"/>
          <w:lang w:val="en-US" w:eastAsia="zh-CN"/>
        </w:rPr>
        <w:t>一是</w:t>
      </w:r>
      <w:r>
        <w:rPr>
          <w:rFonts w:hint="default" w:ascii="Times New Roman" w:hAnsi="Times New Roman" w:eastAsia="方正仿宋_GBK" w:cs="Times New Roman"/>
          <w:color w:val="000000"/>
          <w:kern w:val="0"/>
          <w:sz w:val="33"/>
          <w:szCs w:val="33"/>
          <w:shd w:val="clear" w:color="auto" w:fill="FFFFFF"/>
          <w:lang w:val="en-US" w:eastAsia="zh-CN"/>
        </w:rPr>
        <w:t>发挥好全国干部党性教育基地作用,面向国内国（境）外开展多种形式的委托培训和合作培训；</w:t>
      </w:r>
    </w:p>
    <w:p>
      <w:pPr>
        <w:keepNext w:val="0"/>
        <w:keepLines w:val="0"/>
        <w:pageBreakBefore w:val="0"/>
        <w:widowControl/>
        <w:numPr>
          <w:ilvl w:val="0"/>
          <w:numId w:val="0"/>
        </w:numPr>
        <w:kinsoku/>
        <w:wordWrap/>
        <w:overflowPunct/>
        <w:topLinePunct w:val="0"/>
        <w:autoSpaceDE/>
        <w:autoSpaceDN/>
        <w:bidi w:val="0"/>
        <w:adjustRightInd w:val="0"/>
        <w:snapToGrid w:val="0"/>
        <w:spacing w:line="590" w:lineRule="exact"/>
        <w:ind w:firstLine="662" w:firstLineChars="200"/>
        <w:contextualSpacing/>
        <w:jc w:val="both"/>
        <w:textAlignment w:val="auto"/>
        <w:rPr>
          <w:rFonts w:hint="default" w:ascii="Times New Roman" w:hAnsi="Times New Roman" w:eastAsia="方正仿宋_GBK" w:cs="Times New Roman"/>
          <w:color w:val="000000"/>
          <w:kern w:val="0"/>
          <w:sz w:val="33"/>
          <w:szCs w:val="33"/>
          <w:shd w:val="clear" w:color="auto" w:fill="FFFFFF"/>
          <w:lang w:val="en-US" w:eastAsia="zh-CN"/>
        </w:rPr>
      </w:pPr>
      <w:r>
        <w:rPr>
          <w:rFonts w:hint="default" w:ascii="Times New Roman" w:hAnsi="Times New Roman" w:eastAsia="方正仿宋_GBK" w:cs="Times New Roman"/>
          <w:b/>
          <w:bCs/>
          <w:color w:val="000000"/>
          <w:kern w:val="0"/>
          <w:sz w:val="33"/>
          <w:szCs w:val="33"/>
          <w:shd w:val="clear" w:color="auto" w:fill="FFFFFF"/>
          <w:lang w:val="en-US" w:eastAsia="zh-CN"/>
        </w:rPr>
        <w:t>二是</w:t>
      </w:r>
      <w:r>
        <w:rPr>
          <w:rFonts w:hint="default" w:ascii="Times New Roman" w:hAnsi="Times New Roman" w:eastAsia="方正仿宋_GBK" w:cs="Times New Roman"/>
          <w:color w:val="000000"/>
          <w:kern w:val="0"/>
          <w:sz w:val="33"/>
          <w:szCs w:val="33"/>
          <w:shd w:val="clear" w:color="auto" w:fill="FFFFFF"/>
          <w:lang w:val="en-US" w:eastAsia="zh-CN"/>
        </w:rPr>
        <w:t>学习、宣传、研究中国特色社会主义理论体系,围绕重大理论、重大现实和相关学科前沿问题开展哲学社会科学研究,开展决策咨询；</w:t>
      </w:r>
    </w:p>
    <w:p>
      <w:pPr>
        <w:keepNext w:val="0"/>
        <w:keepLines w:val="0"/>
        <w:pageBreakBefore w:val="0"/>
        <w:widowControl/>
        <w:numPr>
          <w:ilvl w:val="0"/>
          <w:numId w:val="0"/>
        </w:numPr>
        <w:kinsoku/>
        <w:wordWrap/>
        <w:overflowPunct/>
        <w:topLinePunct w:val="0"/>
        <w:autoSpaceDE/>
        <w:autoSpaceDN/>
        <w:bidi w:val="0"/>
        <w:adjustRightInd w:val="0"/>
        <w:snapToGrid w:val="0"/>
        <w:spacing w:line="590" w:lineRule="exact"/>
        <w:ind w:firstLine="662" w:firstLineChars="200"/>
        <w:contextualSpacing/>
        <w:jc w:val="both"/>
        <w:textAlignment w:val="auto"/>
        <w:rPr>
          <w:rFonts w:hint="default" w:ascii="Times New Roman" w:hAnsi="Times New Roman" w:eastAsia="方正仿宋_GBK" w:cs="Times New Roman"/>
          <w:color w:val="000000"/>
          <w:kern w:val="0"/>
          <w:sz w:val="33"/>
          <w:szCs w:val="33"/>
          <w:shd w:val="clear" w:color="auto" w:fill="FFFFFF"/>
          <w:lang w:val="en-US" w:eastAsia="zh-CN"/>
        </w:rPr>
      </w:pPr>
      <w:r>
        <w:rPr>
          <w:rFonts w:hint="default" w:ascii="Times New Roman" w:hAnsi="Times New Roman" w:eastAsia="方正仿宋_GBK" w:cs="Times New Roman"/>
          <w:b/>
          <w:bCs/>
          <w:color w:val="000000"/>
          <w:kern w:val="0"/>
          <w:sz w:val="33"/>
          <w:szCs w:val="33"/>
          <w:shd w:val="clear" w:color="auto" w:fill="FFFFFF"/>
          <w:lang w:val="en-US" w:eastAsia="zh-CN"/>
        </w:rPr>
        <w:t>三是</w:t>
      </w:r>
      <w:r>
        <w:rPr>
          <w:rFonts w:hint="default" w:ascii="Times New Roman" w:hAnsi="Times New Roman" w:eastAsia="方正仿宋_GBK" w:cs="Times New Roman"/>
          <w:color w:val="000000"/>
          <w:kern w:val="0"/>
          <w:sz w:val="33"/>
          <w:szCs w:val="33"/>
          <w:shd w:val="clear" w:color="auto" w:fill="FFFFFF"/>
          <w:lang w:val="en-US" w:eastAsia="zh-CN"/>
        </w:rPr>
        <w:t>充分利用以邓小平故里、华蓥山武装斗争为核心的优势红色资源,培育和打造全国党性救育品牌；</w:t>
      </w:r>
    </w:p>
    <w:p>
      <w:pPr>
        <w:keepNext w:val="0"/>
        <w:keepLines w:val="0"/>
        <w:pageBreakBefore w:val="0"/>
        <w:widowControl/>
        <w:numPr>
          <w:ilvl w:val="0"/>
          <w:numId w:val="0"/>
        </w:numPr>
        <w:kinsoku/>
        <w:wordWrap/>
        <w:overflowPunct/>
        <w:topLinePunct w:val="0"/>
        <w:autoSpaceDE/>
        <w:autoSpaceDN/>
        <w:bidi w:val="0"/>
        <w:adjustRightInd w:val="0"/>
        <w:snapToGrid w:val="0"/>
        <w:spacing w:line="590" w:lineRule="exact"/>
        <w:ind w:firstLine="662" w:firstLineChars="200"/>
        <w:contextualSpacing/>
        <w:jc w:val="both"/>
        <w:textAlignment w:val="auto"/>
        <w:rPr>
          <w:rFonts w:hint="default" w:ascii="Times New Roman" w:hAnsi="Times New Roman" w:eastAsia="方正仿宋_GBK" w:cs="Times New Roman"/>
          <w:color w:val="000000"/>
          <w:kern w:val="0"/>
          <w:sz w:val="33"/>
          <w:szCs w:val="33"/>
          <w:shd w:val="clear" w:color="auto" w:fill="FFFFFF"/>
          <w:lang w:val="en-US" w:eastAsia="zh-CN"/>
        </w:rPr>
      </w:pPr>
      <w:r>
        <w:rPr>
          <w:rFonts w:hint="default" w:ascii="Times New Roman" w:hAnsi="Times New Roman" w:eastAsia="方正仿宋_GBK" w:cs="Times New Roman"/>
          <w:b/>
          <w:bCs/>
          <w:color w:val="000000"/>
          <w:kern w:val="0"/>
          <w:sz w:val="33"/>
          <w:szCs w:val="33"/>
          <w:shd w:val="clear" w:color="auto" w:fill="FFFFFF"/>
          <w:lang w:val="en-US" w:eastAsia="zh-CN"/>
        </w:rPr>
        <w:t>四是</w:t>
      </w:r>
      <w:r>
        <w:rPr>
          <w:rFonts w:hint="default" w:ascii="Times New Roman" w:hAnsi="Times New Roman" w:eastAsia="方正仿宋_GBK" w:cs="Times New Roman"/>
          <w:color w:val="000000"/>
          <w:kern w:val="0"/>
          <w:sz w:val="33"/>
          <w:szCs w:val="33"/>
          <w:shd w:val="clear" w:color="auto" w:fill="FFFFFF"/>
          <w:lang w:val="en-US" w:eastAsia="zh-CN"/>
        </w:rPr>
        <w:t>开展与国内国（境）外救育、培训、研究等机构和组织的交流与合作；</w:t>
      </w:r>
    </w:p>
    <w:p>
      <w:pPr>
        <w:keepNext w:val="0"/>
        <w:keepLines w:val="0"/>
        <w:pageBreakBefore w:val="0"/>
        <w:widowControl/>
        <w:numPr>
          <w:ilvl w:val="0"/>
          <w:numId w:val="0"/>
        </w:numPr>
        <w:kinsoku/>
        <w:wordWrap/>
        <w:overflowPunct/>
        <w:topLinePunct w:val="0"/>
        <w:autoSpaceDE/>
        <w:autoSpaceDN/>
        <w:bidi w:val="0"/>
        <w:adjustRightInd w:val="0"/>
        <w:snapToGrid w:val="0"/>
        <w:spacing w:line="590" w:lineRule="exact"/>
        <w:ind w:firstLine="662" w:firstLineChars="200"/>
        <w:contextualSpacing/>
        <w:jc w:val="both"/>
        <w:textAlignment w:val="auto"/>
        <w:rPr>
          <w:rFonts w:hint="default" w:ascii="Times New Roman" w:hAnsi="Times New Roman" w:eastAsia="方正仿宋_GBK" w:cs="Times New Roman"/>
          <w:color w:val="000000"/>
          <w:kern w:val="0"/>
          <w:sz w:val="33"/>
          <w:szCs w:val="33"/>
          <w:shd w:val="clear" w:color="auto" w:fill="FFFFFF"/>
          <w:lang w:val="en-US" w:eastAsia="zh-CN"/>
        </w:rPr>
      </w:pPr>
      <w:r>
        <w:rPr>
          <w:rFonts w:hint="default" w:ascii="Times New Roman" w:hAnsi="Times New Roman" w:eastAsia="方正仿宋_GBK" w:cs="Times New Roman"/>
          <w:b/>
          <w:bCs/>
          <w:color w:val="000000"/>
          <w:kern w:val="0"/>
          <w:sz w:val="33"/>
          <w:szCs w:val="33"/>
          <w:shd w:val="clear" w:color="auto" w:fill="FFFFFF"/>
          <w:lang w:val="en-US" w:eastAsia="zh-CN"/>
        </w:rPr>
        <w:t>五是</w:t>
      </w:r>
      <w:r>
        <w:rPr>
          <w:rFonts w:hint="default" w:ascii="Times New Roman" w:hAnsi="Times New Roman" w:eastAsia="方正仿宋_GBK" w:cs="Times New Roman"/>
          <w:color w:val="000000"/>
          <w:kern w:val="0"/>
          <w:sz w:val="33"/>
          <w:szCs w:val="33"/>
          <w:shd w:val="clear" w:color="auto" w:fill="FFFFFF"/>
          <w:lang w:val="en-US" w:eastAsia="zh-CN"/>
        </w:rPr>
        <w:t>按照干部教育培训规划，有计划地培训、轮训党员领导干部、中青年后备干部和理论宣传骨干等群体；</w:t>
      </w:r>
    </w:p>
    <w:p>
      <w:pPr>
        <w:keepNext w:val="0"/>
        <w:keepLines w:val="0"/>
        <w:pageBreakBefore w:val="0"/>
        <w:widowControl/>
        <w:numPr>
          <w:ilvl w:val="0"/>
          <w:numId w:val="0"/>
        </w:numPr>
        <w:kinsoku/>
        <w:wordWrap/>
        <w:overflowPunct/>
        <w:topLinePunct w:val="0"/>
        <w:autoSpaceDE/>
        <w:autoSpaceDN/>
        <w:bidi w:val="0"/>
        <w:adjustRightInd w:val="0"/>
        <w:snapToGrid w:val="0"/>
        <w:spacing w:line="590" w:lineRule="exact"/>
        <w:ind w:firstLine="662" w:firstLineChars="200"/>
        <w:contextualSpacing/>
        <w:jc w:val="both"/>
        <w:textAlignment w:val="auto"/>
        <w:rPr>
          <w:rFonts w:hint="default" w:ascii="Times New Roman" w:hAnsi="Times New Roman" w:eastAsia="方正仿宋_GBK" w:cs="Times New Roman"/>
          <w:color w:val="000000"/>
          <w:kern w:val="0"/>
          <w:sz w:val="33"/>
          <w:szCs w:val="33"/>
          <w:shd w:val="clear" w:color="auto" w:fill="FFFFFF"/>
          <w:lang w:val="en-US" w:eastAsia="zh-CN"/>
        </w:rPr>
      </w:pPr>
      <w:r>
        <w:rPr>
          <w:rFonts w:hint="default" w:ascii="Times New Roman" w:hAnsi="Times New Roman" w:eastAsia="方正仿宋_GBK" w:cs="Times New Roman"/>
          <w:b/>
          <w:bCs/>
          <w:color w:val="000000"/>
          <w:kern w:val="0"/>
          <w:sz w:val="33"/>
          <w:szCs w:val="33"/>
          <w:shd w:val="clear" w:color="auto" w:fill="FFFFFF"/>
          <w:lang w:val="en-US" w:eastAsia="zh-CN"/>
        </w:rPr>
        <w:t>六是</w:t>
      </w:r>
      <w:r>
        <w:rPr>
          <w:rFonts w:hint="default" w:ascii="Times New Roman" w:hAnsi="Times New Roman" w:eastAsia="方正仿宋_GBK" w:cs="Times New Roman"/>
          <w:color w:val="000000"/>
          <w:kern w:val="0"/>
          <w:sz w:val="33"/>
          <w:szCs w:val="33"/>
          <w:shd w:val="clear" w:color="auto" w:fill="FFFFFF"/>
          <w:lang w:val="en-US" w:eastAsia="zh-CN"/>
        </w:rPr>
        <w:t>接受上级党校和高校委托，开展在职研究生教育；</w:t>
      </w:r>
    </w:p>
    <w:p>
      <w:pPr>
        <w:keepNext w:val="0"/>
        <w:keepLines w:val="0"/>
        <w:pageBreakBefore w:val="0"/>
        <w:widowControl/>
        <w:numPr>
          <w:ilvl w:val="0"/>
          <w:numId w:val="0"/>
        </w:numPr>
        <w:kinsoku/>
        <w:wordWrap/>
        <w:overflowPunct/>
        <w:topLinePunct w:val="0"/>
        <w:autoSpaceDE/>
        <w:autoSpaceDN/>
        <w:bidi w:val="0"/>
        <w:adjustRightInd w:val="0"/>
        <w:snapToGrid w:val="0"/>
        <w:spacing w:line="590" w:lineRule="exact"/>
        <w:ind w:firstLine="662" w:firstLineChars="200"/>
        <w:contextualSpacing/>
        <w:jc w:val="both"/>
        <w:textAlignment w:val="auto"/>
        <w:rPr>
          <w:rFonts w:hint="default" w:ascii="Times New Roman" w:hAnsi="Times New Roman" w:eastAsia="方正仿宋_GBK" w:cs="Times New Roman"/>
          <w:color w:val="000000"/>
          <w:kern w:val="0"/>
          <w:sz w:val="33"/>
          <w:szCs w:val="33"/>
          <w:shd w:val="clear" w:color="auto" w:fill="FFFFFF"/>
          <w:lang w:val="en-US" w:eastAsia="zh-CN"/>
        </w:rPr>
      </w:pPr>
      <w:r>
        <w:rPr>
          <w:rFonts w:hint="default" w:ascii="Times New Roman" w:hAnsi="Times New Roman" w:eastAsia="方正仿宋_GBK" w:cs="Times New Roman"/>
          <w:b/>
          <w:bCs/>
          <w:color w:val="000000"/>
          <w:kern w:val="0"/>
          <w:sz w:val="33"/>
          <w:szCs w:val="33"/>
          <w:shd w:val="clear" w:color="auto" w:fill="FFFFFF"/>
          <w:lang w:val="en-US" w:eastAsia="zh-CN"/>
        </w:rPr>
        <w:t>七是</w:t>
      </w:r>
      <w:r>
        <w:rPr>
          <w:rFonts w:hint="default" w:ascii="Times New Roman" w:hAnsi="Times New Roman" w:eastAsia="方正仿宋_GBK" w:cs="Times New Roman"/>
          <w:color w:val="000000"/>
          <w:kern w:val="0"/>
          <w:sz w:val="33"/>
          <w:szCs w:val="33"/>
          <w:shd w:val="clear" w:color="auto" w:fill="FFFFFF"/>
          <w:lang w:val="en-US" w:eastAsia="zh-CN"/>
        </w:rPr>
        <w:t>对县级党校（行政学校）进行业务指导；</w:t>
      </w:r>
    </w:p>
    <w:p>
      <w:pPr>
        <w:keepNext w:val="0"/>
        <w:keepLines w:val="0"/>
        <w:pageBreakBefore w:val="0"/>
        <w:widowControl/>
        <w:numPr>
          <w:ilvl w:val="0"/>
          <w:numId w:val="0"/>
        </w:numPr>
        <w:kinsoku/>
        <w:wordWrap/>
        <w:overflowPunct/>
        <w:topLinePunct w:val="0"/>
        <w:autoSpaceDE/>
        <w:autoSpaceDN/>
        <w:bidi w:val="0"/>
        <w:adjustRightInd w:val="0"/>
        <w:snapToGrid w:val="0"/>
        <w:spacing w:line="590" w:lineRule="exact"/>
        <w:ind w:firstLine="662" w:firstLineChars="200"/>
        <w:contextualSpacing/>
        <w:jc w:val="both"/>
        <w:textAlignment w:val="auto"/>
        <w:rPr>
          <w:rFonts w:hint="default" w:ascii="Times New Roman" w:hAnsi="Times New Roman" w:eastAsia="方正仿宋_GBK" w:cs="Times New Roman"/>
          <w:sz w:val="33"/>
          <w:szCs w:val="33"/>
          <w:lang w:val="en-US" w:eastAsia="zh-CN"/>
        </w:rPr>
      </w:pPr>
      <w:r>
        <w:rPr>
          <w:rFonts w:hint="default" w:ascii="Times New Roman" w:hAnsi="Times New Roman" w:eastAsia="方正仿宋_GBK" w:cs="Times New Roman"/>
          <w:b/>
          <w:bCs/>
          <w:color w:val="000000"/>
          <w:kern w:val="0"/>
          <w:sz w:val="33"/>
          <w:szCs w:val="33"/>
          <w:shd w:val="clear" w:color="auto" w:fill="FFFFFF"/>
          <w:lang w:val="en-US" w:eastAsia="zh-CN"/>
        </w:rPr>
        <w:t>八是</w:t>
      </w:r>
      <w:r>
        <w:rPr>
          <w:rFonts w:hint="default" w:ascii="Times New Roman" w:hAnsi="Times New Roman" w:eastAsia="方正仿宋_GBK" w:cs="Times New Roman"/>
          <w:color w:val="000000"/>
          <w:kern w:val="0"/>
          <w:sz w:val="33"/>
          <w:szCs w:val="33"/>
          <w:shd w:val="clear" w:color="auto" w:fill="FFFFFF"/>
          <w:lang w:val="en-US" w:eastAsia="zh-CN"/>
        </w:rPr>
        <w:t>完成上级交办的其他任务。</w:t>
      </w:r>
    </w:p>
    <w:p>
      <w:pPr>
        <w:keepNext w:val="0"/>
        <w:keepLines w:val="0"/>
        <w:pageBreakBefore w:val="0"/>
        <w:widowControl/>
        <w:numPr>
          <w:ilvl w:val="0"/>
          <w:numId w:val="0"/>
        </w:numPr>
        <w:kinsoku/>
        <w:overflowPunct/>
        <w:topLinePunct w:val="0"/>
        <w:autoSpaceDE/>
        <w:autoSpaceDN/>
        <w:bidi w:val="0"/>
        <w:adjustRightInd w:val="0"/>
        <w:snapToGrid w:val="0"/>
        <w:spacing w:line="590" w:lineRule="exact"/>
        <w:ind w:leftChars="200"/>
        <w:contextualSpacing/>
        <w:jc w:val="both"/>
        <w:textAlignment w:val="auto"/>
        <w:rPr>
          <w:rFonts w:hint="eastAsia" w:ascii="方正楷体_GBK" w:hAnsi="方正楷体_GBK" w:eastAsia="方正楷体_GBK" w:cs="方正楷体_GBK"/>
          <w:b/>
          <w:bCs/>
          <w:color w:val="000000"/>
          <w:kern w:val="0"/>
          <w:sz w:val="33"/>
          <w:szCs w:val="33"/>
          <w:shd w:val="clear" w:color="auto" w:fill="FFFFFF"/>
          <w:lang w:val="zh-CN"/>
        </w:rPr>
      </w:pPr>
      <w:bookmarkStart w:id="150" w:name="_Toc1555227275_WPSOffice_Level3"/>
      <w:r>
        <w:rPr>
          <w:rFonts w:hint="eastAsia" w:ascii="方正楷体_GBK" w:hAnsi="方正楷体_GBK" w:eastAsia="方正楷体_GBK" w:cs="方正楷体_GBK"/>
          <w:b/>
          <w:bCs/>
          <w:color w:val="000000"/>
          <w:kern w:val="0"/>
          <w:sz w:val="33"/>
          <w:szCs w:val="33"/>
          <w:shd w:val="clear" w:color="auto" w:fill="FFFFFF"/>
          <w:lang w:val="zh-CN"/>
        </w:rPr>
        <w:t>（三）人员概况</w:t>
      </w:r>
      <w:bookmarkEnd w:id="150"/>
    </w:p>
    <w:p>
      <w:pPr>
        <w:keepNext w:val="0"/>
        <w:keepLines w:val="0"/>
        <w:pageBreakBefore w:val="0"/>
        <w:widowControl/>
        <w:kinsoku/>
        <w:overflowPunct/>
        <w:topLinePunct w:val="0"/>
        <w:autoSpaceDE/>
        <w:autoSpaceDN/>
        <w:bidi w:val="0"/>
        <w:adjustRightInd w:val="0"/>
        <w:snapToGrid w:val="0"/>
        <w:spacing w:line="590" w:lineRule="exact"/>
        <w:ind w:firstLine="660" w:firstLineChars="200"/>
        <w:contextualSpacing/>
        <w:jc w:val="both"/>
        <w:textAlignment w:val="auto"/>
        <w:rPr>
          <w:rFonts w:hint="default" w:ascii="Times New Roman" w:hAnsi="Times New Roman" w:eastAsia="方正仿宋_GBK" w:cs="Times New Roman"/>
          <w:color w:val="000000"/>
          <w:kern w:val="0"/>
          <w:sz w:val="33"/>
          <w:szCs w:val="33"/>
          <w:shd w:val="clear" w:color="auto" w:fill="FFFFFF"/>
          <w:lang w:val="zh-CN" w:eastAsia="zh-CN"/>
        </w:rPr>
      </w:pPr>
      <w:r>
        <w:rPr>
          <w:rFonts w:hint="default" w:ascii="Times New Roman" w:hAnsi="Times New Roman" w:eastAsia="方正仿宋_GBK" w:cs="Times New Roman"/>
          <w:color w:val="000000"/>
          <w:kern w:val="0"/>
          <w:sz w:val="33"/>
          <w:szCs w:val="33"/>
          <w:shd w:val="clear" w:color="auto" w:fill="FFFFFF"/>
          <w:lang w:val="en-US" w:eastAsia="zh-CN"/>
        </w:rPr>
        <w:t>2021年在职参公人员15人，在职事业人员24人，退休人员9人，共计48人。</w:t>
      </w:r>
    </w:p>
    <w:p>
      <w:pPr>
        <w:keepNext w:val="0"/>
        <w:keepLines w:val="0"/>
        <w:pageBreakBefore w:val="0"/>
        <w:widowControl/>
        <w:kinsoku/>
        <w:overflowPunct/>
        <w:topLinePunct w:val="0"/>
        <w:autoSpaceDE/>
        <w:autoSpaceDN/>
        <w:bidi w:val="0"/>
        <w:adjustRightInd w:val="0"/>
        <w:snapToGrid w:val="0"/>
        <w:spacing w:line="590" w:lineRule="exact"/>
        <w:ind w:firstLine="660" w:firstLineChars="200"/>
        <w:contextualSpacing/>
        <w:jc w:val="both"/>
        <w:textAlignment w:val="auto"/>
        <w:rPr>
          <w:rFonts w:hint="default" w:ascii="方正黑体_GBK" w:hAnsi="方正黑体_GBK" w:eastAsia="方正黑体_GBK" w:cs="方正黑体_GBK"/>
          <w:color w:val="000000"/>
          <w:kern w:val="0"/>
          <w:sz w:val="33"/>
          <w:szCs w:val="33"/>
          <w:shd w:val="clear" w:color="auto" w:fill="FFFFFF"/>
        </w:rPr>
      </w:pPr>
      <w:bookmarkStart w:id="151" w:name="_Toc1298263634_WPSOffice_Level2"/>
      <w:r>
        <w:rPr>
          <w:rFonts w:hint="default" w:ascii="方正黑体_GBK" w:hAnsi="方正黑体_GBK" w:eastAsia="方正黑体_GBK" w:cs="方正黑体_GBK"/>
          <w:color w:val="000000"/>
          <w:kern w:val="0"/>
          <w:sz w:val="33"/>
          <w:szCs w:val="33"/>
          <w:shd w:val="clear" w:color="auto" w:fill="FFFFFF"/>
        </w:rPr>
        <w:t>二、部门财政资金收支情况</w:t>
      </w:r>
      <w:bookmarkEnd w:id="151"/>
    </w:p>
    <w:p>
      <w:pPr>
        <w:keepNext w:val="0"/>
        <w:keepLines w:val="0"/>
        <w:pageBreakBefore w:val="0"/>
        <w:widowControl w:val="0"/>
        <w:kinsoku/>
        <w:wordWrap/>
        <w:overflowPunct/>
        <w:topLinePunct w:val="0"/>
        <w:autoSpaceDE/>
        <w:autoSpaceDN/>
        <w:bidi w:val="0"/>
        <w:adjustRightInd w:val="0"/>
        <w:snapToGrid w:val="0"/>
        <w:spacing w:line="590" w:lineRule="exact"/>
        <w:ind w:firstLine="662" w:firstLineChars="200"/>
        <w:contextualSpacing/>
        <w:jc w:val="both"/>
        <w:textAlignment w:val="auto"/>
        <w:rPr>
          <w:rFonts w:hint="eastAsia" w:ascii="方正楷体_GBK" w:hAnsi="方正楷体_GBK" w:eastAsia="方正楷体_GBK" w:cs="方正楷体_GBK"/>
          <w:b/>
          <w:bCs/>
          <w:color w:val="000000"/>
          <w:kern w:val="0"/>
          <w:sz w:val="33"/>
          <w:szCs w:val="33"/>
          <w:shd w:val="clear" w:color="auto" w:fill="FFFFFF"/>
          <w:lang w:val="zh-CN"/>
        </w:rPr>
      </w:pPr>
      <w:bookmarkStart w:id="152" w:name="_Toc1130828161_WPSOffice_Level3"/>
      <w:r>
        <w:rPr>
          <w:rFonts w:hint="eastAsia" w:ascii="方正楷体_GBK" w:hAnsi="方正楷体_GBK" w:eastAsia="方正楷体_GBK" w:cs="方正楷体_GBK"/>
          <w:b/>
          <w:bCs/>
          <w:color w:val="000000"/>
          <w:kern w:val="0"/>
          <w:sz w:val="33"/>
          <w:szCs w:val="33"/>
          <w:shd w:val="clear" w:color="auto" w:fill="FFFFFF"/>
          <w:lang w:val="zh-CN"/>
        </w:rPr>
        <w:t>（一）部门财政资金收入情况</w:t>
      </w:r>
      <w:bookmarkEnd w:id="152"/>
    </w:p>
    <w:p>
      <w:pPr>
        <w:keepNext w:val="0"/>
        <w:keepLines w:val="0"/>
        <w:pageBreakBefore w:val="0"/>
        <w:widowControl w:val="0"/>
        <w:kinsoku/>
        <w:wordWrap/>
        <w:overflowPunct/>
        <w:topLinePunct w:val="0"/>
        <w:autoSpaceDE/>
        <w:autoSpaceDN/>
        <w:bidi w:val="0"/>
        <w:adjustRightInd w:val="0"/>
        <w:snapToGrid w:val="0"/>
        <w:spacing w:line="590" w:lineRule="exact"/>
        <w:ind w:firstLine="660" w:firstLineChars="200"/>
        <w:contextualSpacing/>
        <w:jc w:val="both"/>
        <w:textAlignment w:val="auto"/>
        <w:rPr>
          <w:rFonts w:hint="default" w:ascii="Times New Roman" w:hAnsi="Times New Roman" w:eastAsia="方正仿宋_GBK" w:cs="Times New Roman"/>
          <w:color w:val="000000"/>
          <w:kern w:val="0"/>
          <w:sz w:val="33"/>
          <w:szCs w:val="33"/>
          <w:shd w:val="clear" w:color="auto" w:fill="FFFFFF"/>
          <w:lang w:val="zh-CN"/>
        </w:rPr>
      </w:pPr>
      <w:r>
        <w:rPr>
          <w:rFonts w:hint="default" w:ascii="Times New Roman" w:hAnsi="Times New Roman" w:eastAsia="方正仿宋_GBK" w:cs="Times New Roman"/>
          <w:color w:val="000000"/>
          <w:kern w:val="0"/>
          <w:sz w:val="33"/>
          <w:szCs w:val="33"/>
          <w:shd w:val="clear" w:color="auto" w:fill="FFFFFF"/>
          <w:lang w:val="zh-CN"/>
        </w:rPr>
        <w:t>20</w:t>
      </w:r>
      <w:r>
        <w:rPr>
          <w:rFonts w:hint="default" w:ascii="Times New Roman" w:hAnsi="Times New Roman" w:eastAsia="方正仿宋_GBK" w:cs="Times New Roman"/>
          <w:color w:val="000000"/>
          <w:kern w:val="0"/>
          <w:sz w:val="33"/>
          <w:szCs w:val="33"/>
          <w:shd w:val="clear" w:color="auto" w:fill="FFFFFF"/>
          <w:lang w:val="en-US" w:eastAsia="zh-CN"/>
        </w:rPr>
        <w:t>21</w:t>
      </w:r>
      <w:r>
        <w:rPr>
          <w:rFonts w:hint="default" w:ascii="Times New Roman" w:hAnsi="Times New Roman" w:eastAsia="方正仿宋_GBK" w:cs="Times New Roman"/>
          <w:color w:val="000000"/>
          <w:kern w:val="0"/>
          <w:sz w:val="33"/>
          <w:szCs w:val="33"/>
          <w:shd w:val="clear" w:color="auto" w:fill="FFFFFF"/>
          <w:lang w:val="zh-CN"/>
        </w:rPr>
        <w:t>年本年收入合计</w:t>
      </w:r>
      <w:r>
        <w:rPr>
          <w:rFonts w:hint="eastAsia" w:ascii="仿宋" w:hAnsi="仿宋" w:eastAsia="仿宋"/>
          <w:color w:val="000000"/>
          <w:sz w:val="32"/>
          <w:szCs w:val="32"/>
          <w:lang w:val="en-US" w:eastAsia="zh-CN"/>
        </w:rPr>
        <w:t>14316.53</w:t>
      </w:r>
      <w:r>
        <w:rPr>
          <w:rFonts w:hint="default" w:ascii="Times New Roman" w:hAnsi="Times New Roman" w:eastAsia="方正仿宋_GBK" w:cs="Times New Roman"/>
          <w:color w:val="000000"/>
          <w:kern w:val="0"/>
          <w:sz w:val="33"/>
          <w:szCs w:val="33"/>
          <w:shd w:val="clear" w:color="auto" w:fill="FFFFFF"/>
          <w:lang w:val="zh-CN"/>
        </w:rPr>
        <w:t>万元，</w:t>
      </w:r>
      <w:r>
        <w:rPr>
          <w:rFonts w:hint="eastAsia" w:ascii="仿宋" w:hAnsi="仿宋" w:eastAsia="仿宋"/>
          <w:color w:val="000000"/>
          <w:sz w:val="32"/>
          <w:szCs w:val="32"/>
        </w:rPr>
        <w:t>其中：一般公共预算财政拨款收入</w:t>
      </w:r>
      <w:r>
        <w:rPr>
          <w:rFonts w:hint="eastAsia" w:ascii="仿宋" w:hAnsi="仿宋" w:eastAsia="仿宋"/>
          <w:color w:val="000000"/>
          <w:sz w:val="32"/>
          <w:szCs w:val="32"/>
          <w:lang w:val="en-US" w:eastAsia="zh-CN"/>
        </w:rPr>
        <w:t>4179.91</w:t>
      </w:r>
      <w:r>
        <w:rPr>
          <w:rFonts w:hint="eastAsia" w:ascii="仿宋" w:hAnsi="仿宋" w:eastAsia="仿宋"/>
          <w:color w:val="000000"/>
          <w:sz w:val="32"/>
          <w:szCs w:val="32"/>
        </w:rPr>
        <w:t>万元，占</w:t>
      </w:r>
      <w:r>
        <w:rPr>
          <w:rFonts w:hint="eastAsia" w:ascii="仿宋" w:hAnsi="仿宋" w:eastAsia="仿宋"/>
          <w:color w:val="000000"/>
          <w:sz w:val="32"/>
          <w:szCs w:val="32"/>
          <w:lang w:val="en-US" w:eastAsia="zh-CN"/>
        </w:rPr>
        <w:t>29.2</w:t>
      </w:r>
      <w:r>
        <w:rPr>
          <w:rFonts w:ascii="仿宋" w:hAnsi="仿宋" w:eastAsia="仿宋"/>
          <w:color w:val="000000"/>
          <w:sz w:val="32"/>
          <w:szCs w:val="32"/>
        </w:rPr>
        <w:t>%</w:t>
      </w:r>
      <w:r>
        <w:rPr>
          <w:rFonts w:hint="eastAsia" w:ascii="仿宋" w:hAnsi="仿宋" w:eastAsia="仿宋"/>
          <w:color w:val="000000"/>
          <w:sz w:val="32"/>
          <w:szCs w:val="32"/>
          <w:lang w:eastAsia="zh-CN"/>
        </w:rPr>
        <w:t>；政府性基金预算财政拨款2098.74万元，占</w:t>
      </w:r>
      <w:r>
        <w:rPr>
          <w:rFonts w:hint="eastAsia" w:ascii="仿宋" w:hAnsi="仿宋" w:eastAsia="仿宋"/>
          <w:color w:val="000000"/>
          <w:sz w:val="32"/>
          <w:szCs w:val="32"/>
          <w:lang w:val="en-US" w:eastAsia="zh-CN"/>
        </w:rPr>
        <w:t>14.66%</w:t>
      </w:r>
      <w:r>
        <w:rPr>
          <w:rFonts w:hint="eastAsia" w:ascii="仿宋" w:hAnsi="仿宋" w:eastAsia="仿宋"/>
          <w:color w:val="000000"/>
          <w:sz w:val="32"/>
          <w:szCs w:val="32"/>
          <w:lang w:eastAsia="zh-CN"/>
        </w:rPr>
        <w:t>；年初财政拨款结转和结余8037.86万元，</w:t>
      </w:r>
      <w:r>
        <w:rPr>
          <w:rFonts w:hint="eastAsia" w:ascii="仿宋" w:hAnsi="仿宋" w:eastAsia="仿宋"/>
          <w:color w:val="000000"/>
          <w:sz w:val="32"/>
          <w:szCs w:val="32"/>
        </w:rPr>
        <w:t>占</w:t>
      </w:r>
      <w:r>
        <w:rPr>
          <w:rFonts w:hint="eastAsia" w:ascii="仿宋" w:hAnsi="仿宋" w:eastAsia="仿宋"/>
          <w:color w:val="000000"/>
          <w:sz w:val="32"/>
          <w:szCs w:val="32"/>
          <w:lang w:val="en-US" w:eastAsia="zh-CN"/>
        </w:rPr>
        <w:t>56.14%。</w:t>
      </w:r>
    </w:p>
    <w:p>
      <w:pPr>
        <w:keepNext w:val="0"/>
        <w:keepLines w:val="0"/>
        <w:pageBreakBefore w:val="0"/>
        <w:widowControl/>
        <w:numPr>
          <w:ilvl w:val="0"/>
          <w:numId w:val="0"/>
        </w:numPr>
        <w:kinsoku/>
        <w:wordWrap/>
        <w:overflowPunct/>
        <w:topLinePunct w:val="0"/>
        <w:autoSpaceDE/>
        <w:autoSpaceDN/>
        <w:bidi w:val="0"/>
        <w:adjustRightInd w:val="0"/>
        <w:snapToGrid w:val="0"/>
        <w:spacing w:line="590" w:lineRule="exact"/>
        <w:ind w:firstLine="662" w:firstLineChars="200"/>
        <w:contextualSpacing/>
        <w:jc w:val="both"/>
        <w:textAlignment w:val="auto"/>
        <w:rPr>
          <w:rFonts w:hint="default" w:ascii="方正楷体_GBK" w:hAnsi="方正楷体_GBK" w:eastAsia="方正楷体_GBK" w:cs="方正楷体_GBK"/>
          <w:b/>
          <w:bCs/>
          <w:color w:val="000000"/>
          <w:kern w:val="0"/>
          <w:sz w:val="33"/>
          <w:szCs w:val="33"/>
          <w:shd w:val="clear" w:color="auto" w:fill="FFFFFF"/>
          <w:lang w:val="zh-CN"/>
        </w:rPr>
      </w:pPr>
      <w:bookmarkStart w:id="153" w:name="_Toc695450858_WPSOffice_Level3"/>
      <w:r>
        <w:rPr>
          <w:rFonts w:hint="eastAsia" w:ascii="方正楷体_GBK" w:hAnsi="方正楷体_GBK" w:eastAsia="方正楷体_GBK" w:cs="方正楷体_GBK"/>
          <w:b/>
          <w:bCs/>
          <w:color w:val="000000"/>
          <w:kern w:val="0"/>
          <w:sz w:val="33"/>
          <w:szCs w:val="33"/>
          <w:shd w:val="clear" w:color="auto" w:fill="FFFFFF"/>
          <w:lang w:val="zh-CN"/>
        </w:rPr>
        <w:t>（二）</w:t>
      </w:r>
      <w:r>
        <w:rPr>
          <w:rFonts w:hint="default" w:ascii="方正楷体_GBK" w:hAnsi="方正楷体_GBK" w:eastAsia="方正楷体_GBK" w:cs="方正楷体_GBK"/>
          <w:b/>
          <w:bCs/>
          <w:color w:val="000000"/>
          <w:kern w:val="0"/>
          <w:sz w:val="33"/>
          <w:szCs w:val="33"/>
          <w:shd w:val="clear" w:color="auto" w:fill="FFFFFF"/>
          <w:lang w:val="zh-CN"/>
        </w:rPr>
        <w:t>部门财政资金支出情况</w:t>
      </w:r>
      <w:bookmarkEnd w:id="153"/>
    </w:p>
    <w:p>
      <w:pPr>
        <w:keepNext w:val="0"/>
        <w:keepLines w:val="0"/>
        <w:pageBreakBefore w:val="0"/>
        <w:widowControl/>
        <w:kinsoku/>
        <w:overflowPunct/>
        <w:topLinePunct w:val="0"/>
        <w:autoSpaceDE/>
        <w:autoSpaceDN/>
        <w:bidi w:val="0"/>
        <w:adjustRightInd w:val="0"/>
        <w:snapToGrid w:val="0"/>
        <w:spacing w:line="590" w:lineRule="exact"/>
        <w:ind w:firstLine="660" w:firstLineChars="200"/>
        <w:contextualSpacing/>
        <w:jc w:val="both"/>
        <w:textAlignment w:val="auto"/>
        <w:rPr>
          <w:rFonts w:hint="default" w:ascii="Times New Roman" w:hAnsi="Times New Roman" w:eastAsia="方正仿宋_GBK" w:cs="Times New Roman"/>
          <w:color w:val="000000"/>
          <w:kern w:val="0"/>
          <w:sz w:val="33"/>
          <w:szCs w:val="33"/>
          <w:shd w:val="clear" w:color="auto" w:fill="FFFFFF"/>
          <w:lang w:val="en-US" w:eastAsia="zh-CN"/>
        </w:rPr>
      </w:pPr>
      <w:r>
        <w:rPr>
          <w:rFonts w:hint="default" w:ascii="Times New Roman" w:hAnsi="Times New Roman" w:eastAsia="方正仿宋_GBK" w:cs="Times New Roman"/>
          <w:color w:val="000000"/>
          <w:kern w:val="0"/>
          <w:sz w:val="33"/>
          <w:szCs w:val="33"/>
          <w:shd w:val="clear" w:color="auto" w:fill="FFFFFF"/>
          <w:lang w:val="en-US" w:eastAsia="zh-CN"/>
        </w:rPr>
        <w:t>2021年本年支出合计</w:t>
      </w:r>
      <w:r>
        <w:rPr>
          <w:rFonts w:hint="eastAsia" w:ascii="仿宋" w:hAnsi="仿宋" w:eastAsia="仿宋"/>
          <w:color w:val="000000"/>
          <w:sz w:val="32"/>
          <w:szCs w:val="32"/>
          <w:lang w:val="en-US" w:eastAsia="zh-CN"/>
        </w:rPr>
        <w:t>14316.53</w:t>
      </w:r>
      <w:r>
        <w:rPr>
          <w:rFonts w:hint="default" w:ascii="Times New Roman" w:hAnsi="Times New Roman" w:eastAsia="方正仿宋_GBK" w:cs="Times New Roman"/>
          <w:color w:val="000000"/>
          <w:kern w:val="0"/>
          <w:sz w:val="33"/>
          <w:szCs w:val="33"/>
          <w:shd w:val="clear" w:color="auto" w:fill="FFFFFF"/>
          <w:lang w:val="en-US" w:eastAsia="zh-CN"/>
        </w:rPr>
        <w:t>万元，</w:t>
      </w:r>
      <w:r>
        <w:rPr>
          <w:rFonts w:hint="eastAsia" w:ascii="仿宋" w:hAnsi="仿宋" w:eastAsia="仿宋"/>
          <w:color w:val="000000"/>
          <w:sz w:val="32"/>
          <w:szCs w:val="32"/>
        </w:rPr>
        <w:t>其中：基本支出</w:t>
      </w:r>
      <w:r>
        <w:rPr>
          <w:rFonts w:hint="eastAsia" w:ascii="仿宋" w:hAnsi="仿宋" w:eastAsia="仿宋"/>
          <w:color w:val="000000"/>
          <w:sz w:val="32"/>
          <w:szCs w:val="32"/>
          <w:lang w:val="en-US" w:eastAsia="zh-CN"/>
        </w:rPr>
        <w:t>4215.25</w:t>
      </w:r>
      <w:r>
        <w:rPr>
          <w:rFonts w:hint="eastAsia" w:ascii="仿宋" w:hAnsi="仿宋" w:eastAsia="仿宋"/>
          <w:color w:val="000000"/>
          <w:sz w:val="32"/>
          <w:szCs w:val="32"/>
        </w:rPr>
        <w:t>万元，占</w:t>
      </w:r>
      <w:r>
        <w:rPr>
          <w:rFonts w:hint="eastAsia" w:ascii="仿宋" w:hAnsi="仿宋" w:eastAsia="仿宋"/>
          <w:color w:val="000000"/>
          <w:sz w:val="32"/>
          <w:szCs w:val="32"/>
          <w:lang w:val="en-US" w:eastAsia="zh-CN"/>
        </w:rPr>
        <w:t>29.44</w:t>
      </w:r>
      <w:r>
        <w:rPr>
          <w:rFonts w:ascii="仿宋" w:hAnsi="仿宋" w:eastAsia="仿宋"/>
          <w:color w:val="000000"/>
          <w:sz w:val="32"/>
          <w:szCs w:val="32"/>
        </w:rPr>
        <w:t>%</w:t>
      </w:r>
      <w:r>
        <w:rPr>
          <w:rFonts w:hint="eastAsia" w:ascii="仿宋" w:hAnsi="仿宋" w:eastAsia="仿宋"/>
          <w:color w:val="000000"/>
          <w:sz w:val="32"/>
          <w:szCs w:val="32"/>
          <w:lang w:eastAsia="zh-CN"/>
        </w:rPr>
        <w:t>；项目支出10101.27万元，占</w:t>
      </w:r>
      <w:r>
        <w:rPr>
          <w:rFonts w:hint="eastAsia" w:ascii="仿宋" w:hAnsi="仿宋" w:eastAsia="仿宋"/>
          <w:color w:val="000000"/>
          <w:sz w:val="32"/>
          <w:szCs w:val="32"/>
          <w:lang w:val="en-US" w:eastAsia="zh-CN"/>
        </w:rPr>
        <w:t>70.56%。</w:t>
      </w:r>
      <w:r>
        <w:rPr>
          <w:rFonts w:hint="default" w:ascii="Times New Roman" w:hAnsi="Times New Roman" w:eastAsia="方正仿宋_GBK" w:cs="Times New Roman"/>
          <w:color w:val="000000"/>
          <w:kern w:val="0"/>
          <w:sz w:val="33"/>
          <w:szCs w:val="33"/>
          <w:shd w:val="clear" w:color="auto" w:fill="FFFFFF"/>
          <w:lang w:val="en-US" w:eastAsia="zh-CN"/>
        </w:rPr>
        <w:t>。</w:t>
      </w:r>
    </w:p>
    <w:p>
      <w:pPr>
        <w:keepNext w:val="0"/>
        <w:keepLines w:val="0"/>
        <w:pageBreakBefore w:val="0"/>
        <w:widowControl/>
        <w:kinsoku/>
        <w:overflowPunct/>
        <w:topLinePunct w:val="0"/>
        <w:autoSpaceDE/>
        <w:autoSpaceDN/>
        <w:bidi w:val="0"/>
        <w:adjustRightInd w:val="0"/>
        <w:snapToGrid w:val="0"/>
        <w:spacing w:line="590" w:lineRule="exact"/>
        <w:ind w:firstLine="660" w:firstLineChars="200"/>
        <w:contextualSpacing/>
        <w:jc w:val="both"/>
        <w:textAlignment w:val="auto"/>
        <w:rPr>
          <w:rFonts w:hint="default" w:ascii="方正黑体_GBK" w:hAnsi="方正黑体_GBK" w:eastAsia="方正黑体_GBK" w:cs="方正黑体_GBK"/>
          <w:color w:val="000000"/>
          <w:kern w:val="0"/>
          <w:sz w:val="33"/>
          <w:szCs w:val="33"/>
          <w:shd w:val="clear" w:color="auto" w:fill="FFFFFF"/>
        </w:rPr>
      </w:pPr>
      <w:bookmarkStart w:id="154" w:name="_Toc927803996_WPSOffice_Level2"/>
      <w:r>
        <w:rPr>
          <w:rFonts w:hint="default" w:ascii="方正黑体_GBK" w:hAnsi="方正黑体_GBK" w:eastAsia="方正黑体_GBK" w:cs="方正黑体_GBK"/>
          <w:color w:val="000000"/>
          <w:kern w:val="0"/>
          <w:sz w:val="33"/>
          <w:szCs w:val="33"/>
          <w:shd w:val="clear" w:color="auto" w:fill="FFFFFF"/>
        </w:rPr>
        <w:t>三、部门整体预算绩效管理情况</w:t>
      </w:r>
      <w:bookmarkEnd w:id="154"/>
    </w:p>
    <w:p>
      <w:pPr>
        <w:keepNext w:val="0"/>
        <w:keepLines w:val="0"/>
        <w:pageBreakBefore w:val="0"/>
        <w:widowControl/>
        <w:numPr>
          <w:ilvl w:val="0"/>
          <w:numId w:val="0"/>
        </w:numPr>
        <w:kinsoku/>
        <w:wordWrap/>
        <w:overflowPunct/>
        <w:topLinePunct w:val="0"/>
        <w:autoSpaceDE/>
        <w:autoSpaceDN/>
        <w:bidi w:val="0"/>
        <w:adjustRightInd w:val="0"/>
        <w:snapToGrid w:val="0"/>
        <w:spacing w:line="590" w:lineRule="exact"/>
        <w:ind w:firstLine="662" w:firstLineChars="200"/>
        <w:contextualSpacing/>
        <w:jc w:val="both"/>
        <w:textAlignment w:val="auto"/>
        <w:rPr>
          <w:rFonts w:hint="default" w:ascii="方正楷体_GBK" w:hAnsi="方正楷体_GBK" w:eastAsia="方正楷体_GBK" w:cs="方正楷体_GBK"/>
          <w:b/>
          <w:bCs/>
          <w:color w:val="000000"/>
          <w:kern w:val="0"/>
          <w:sz w:val="33"/>
          <w:szCs w:val="33"/>
          <w:shd w:val="clear" w:color="auto" w:fill="FFFFFF"/>
          <w:lang w:val="zh-CN"/>
        </w:rPr>
      </w:pPr>
      <w:bookmarkStart w:id="155" w:name="_Toc1298263634_WPSOffice_Level3"/>
      <w:r>
        <w:rPr>
          <w:rFonts w:hint="default" w:ascii="方正楷体_GBK" w:hAnsi="方正楷体_GBK" w:eastAsia="方正楷体_GBK" w:cs="方正楷体_GBK"/>
          <w:b/>
          <w:bCs/>
          <w:color w:val="000000"/>
          <w:kern w:val="0"/>
          <w:sz w:val="33"/>
          <w:szCs w:val="33"/>
          <w:shd w:val="clear" w:color="auto" w:fill="FFFFFF"/>
          <w:lang w:val="zh-CN"/>
        </w:rPr>
        <w:t>（一）部门预算管理</w:t>
      </w:r>
      <w:bookmarkEnd w:id="155"/>
    </w:p>
    <w:p>
      <w:pPr>
        <w:keepNext w:val="0"/>
        <w:keepLines w:val="0"/>
        <w:pageBreakBefore w:val="0"/>
        <w:widowControl/>
        <w:kinsoku/>
        <w:overflowPunct/>
        <w:topLinePunct w:val="0"/>
        <w:autoSpaceDE/>
        <w:autoSpaceDN/>
        <w:bidi w:val="0"/>
        <w:adjustRightInd w:val="0"/>
        <w:snapToGrid w:val="0"/>
        <w:spacing w:line="590" w:lineRule="exact"/>
        <w:ind w:firstLine="660" w:firstLineChars="200"/>
        <w:contextualSpacing/>
        <w:jc w:val="both"/>
        <w:textAlignment w:val="auto"/>
        <w:rPr>
          <w:rFonts w:hint="default" w:ascii="Times New Roman" w:hAnsi="Times New Roman" w:eastAsia="方正仿宋_GBK" w:cs="Times New Roman"/>
          <w:color w:val="000000"/>
          <w:kern w:val="0"/>
          <w:sz w:val="33"/>
          <w:szCs w:val="33"/>
          <w:shd w:val="clear" w:color="auto" w:fill="FFFFFF"/>
          <w:lang w:val="zh-CN"/>
        </w:rPr>
      </w:pPr>
      <w:r>
        <w:rPr>
          <w:rFonts w:hint="default" w:ascii="Times New Roman" w:hAnsi="Times New Roman" w:eastAsia="方正仿宋_GBK" w:cs="Times New Roman"/>
          <w:color w:val="000000"/>
          <w:kern w:val="0"/>
          <w:sz w:val="33"/>
          <w:szCs w:val="33"/>
          <w:shd w:val="clear" w:color="auto" w:fill="FFFFFF"/>
          <w:lang w:val="zh-CN"/>
        </w:rPr>
        <w:t>1.预算编制：严格按照市级部门预算编制通知和有关要求，按时完成预算编报工作；部门整体绩效目标编制完整、合理，参照去年运行情况与今年实际状况编制部门整体绩效目标；预算编制准确，人员经费严格按照政策批复的标准发放，同时严格按照人员合理计算出公用经费；市人大预工委对预算草案审查未提出修改问题。</w:t>
      </w:r>
    </w:p>
    <w:p>
      <w:pPr>
        <w:keepNext w:val="0"/>
        <w:keepLines w:val="0"/>
        <w:pageBreakBefore w:val="0"/>
        <w:widowControl/>
        <w:kinsoku/>
        <w:overflowPunct/>
        <w:topLinePunct w:val="0"/>
        <w:autoSpaceDE/>
        <w:autoSpaceDN/>
        <w:bidi w:val="0"/>
        <w:adjustRightInd w:val="0"/>
        <w:snapToGrid w:val="0"/>
        <w:spacing w:line="590" w:lineRule="exact"/>
        <w:ind w:firstLine="660" w:firstLineChars="200"/>
        <w:contextualSpacing/>
        <w:jc w:val="both"/>
        <w:textAlignment w:val="auto"/>
        <w:rPr>
          <w:rFonts w:hint="default" w:ascii="Times New Roman" w:hAnsi="Times New Roman" w:eastAsia="方正仿宋_GBK" w:cs="Times New Roman"/>
          <w:color w:val="000000"/>
          <w:kern w:val="0"/>
          <w:sz w:val="33"/>
          <w:szCs w:val="33"/>
          <w:shd w:val="clear" w:color="auto" w:fill="FFFFFF"/>
          <w:lang w:val="zh-CN"/>
        </w:rPr>
      </w:pPr>
      <w:r>
        <w:rPr>
          <w:rFonts w:hint="default" w:ascii="Times New Roman" w:hAnsi="Times New Roman" w:eastAsia="方正仿宋_GBK" w:cs="Times New Roman"/>
          <w:color w:val="000000"/>
          <w:kern w:val="0"/>
          <w:sz w:val="33"/>
          <w:szCs w:val="33"/>
          <w:shd w:val="clear" w:color="auto" w:fill="FFFFFF"/>
          <w:lang w:val="zh-CN"/>
        </w:rPr>
        <w:t>2.预算执行方面：严格按照资金分配时效执行；</w:t>
      </w:r>
      <w:r>
        <w:rPr>
          <w:rFonts w:hint="default" w:ascii="Times New Roman" w:hAnsi="Times New Roman" w:eastAsia="方正仿宋_GBK" w:cs="Times New Roman"/>
          <w:color w:val="000000"/>
          <w:kern w:val="0"/>
          <w:sz w:val="33"/>
          <w:szCs w:val="33"/>
          <w:shd w:val="clear" w:color="auto" w:fill="FFFFFF"/>
          <w:lang w:val="en-US" w:eastAsia="zh-CN"/>
        </w:rPr>
        <w:t>2020年总收入与总支出偏差率为24.56%，2021年底关账期间本部门收到财政拨款培训费177.34万元，为小平干部学院培训收入，因已关账故未及时支付，造成年底结余多，偏差较大；无违规违纪行为。</w:t>
      </w:r>
      <w:r>
        <w:rPr>
          <w:rFonts w:hint="default" w:ascii="Times New Roman" w:hAnsi="Times New Roman" w:eastAsia="方正仿宋_GBK" w:cs="Times New Roman"/>
          <w:color w:val="000000"/>
          <w:kern w:val="0"/>
          <w:sz w:val="33"/>
          <w:szCs w:val="33"/>
          <w:shd w:val="clear" w:color="auto" w:fill="FFFFFF"/>
          <w:lang w:val="zh-CN"/>
        </w:rPr>
        <w:t>严格执行“三公经费”预算，20</w:t>
      </w:r>
      <w:r>
        <w:rPr>
          <w:rFonts w:hint="default" w:ascii="Times New Roman" w:hAnsi="Times New Roman" w:eastAsia="方正仿宋_GBK" w:cs="Times New Roman"/>
          <w:color w:val="000000"/>
          <w:kern w:val="0"/>
          <w:sz w:val="33"/>
          <w:szCs w:val="33"/>
          <w:shd w:val="clear" w:color="auto" w:fill="FFFFFF"/>
          <w:lang w:val="en-US" w:eastAsia="zh-CN"/>
        </w:rPr>
        <w:t>21</w:t>
      </w:r>
      <w:r>
        <w:rPr>
          <w:rFonts w:hint="default" w:ascii="Times New Roman" w:hAnsi="Times New Roman" w:eastAsia="方正仿宋_GBK" w:cs="Times New Roman"/>
          <w:color w:val="000000"/>
          <w:kern w:val="0"/>
          <w:sz w:val="33"/>
          <w:szCs w:val="33"/>
          <w:shd w:val="clear" w:color="auto" w:fill="FFFFFF"/>
          <w:lang w:val="zh-CN"/>
        </w:rPr>
        <w:t>年度因公出国出境费用支出0元，公务用车运行维护费支出0元，公务接待费支出</w:t>
      </w:r>
      <w:r>
        <w:rPr>
          <w:rFonts w:hint="default" w:ascii="Times New Roman" w:hAnsi="Times New Roman" w:eastAsia="方正仿宋_GBK" w:cs="Times New Roman"/>
          <w:color w:val="000000"/>
          <w:kern w:val="0"/>
          <w:sz w:val="33"/>
          <w:szCs w:val="33"/>
          <w:shd w:val="clear" w:color="auto" w:fill="FFFFFF"/>
          <w:lang w:val="en-US" w:eastAsia="zh-CN"/>
        </w:rPr>
        <w:t>0.</w:t>
      </w:r>
      <w:r>
        <w:rPr>
          <w:rFonts w:hint="eastAsia" w:eastAsia="方正仿宋_GBK" w:cs="Times New Roman"/>
          <w:color w:val="000000"/>
          <w:kern w:val="0"/>
          <w:sz w:val="33"/>
          <w:szCs w:val="33"/>
          <w:shd w:val="clear" w:color="auto" w:fill="FFFFFF"/>
          <w:lang w:val="en-US" w:eastAsia="zh-CN"/>
        </w:rPr>
        <w:t>65</w:t>
      </w:r>
      <w:r>
        <w:rPr>
          <w:rFonts w:hint="default" w:ascii="Times New Roman" w:hAnsi="Times New Roman" w:eastAsia="方正仿宋_GBK" w:cs="Times New Roman"/>
          <w:color w:val="000000"/>
          <w:kern w:val="0"/>
          <w:sz w:val="33"/>
          <w:szCs w:val="33"/>
          <w:shd w:val="clear" w:color="auto" w:fill="FFFFFF"/>
          <w:lang w:val="zh-CN"/>
        </w:rPr>
        <w:t>万元，完成年初预算</w:t>
      </w:r>
      <w:r>
        <w:rPr>
          <w:rFonts w:hint="eastAsia" w:eastAsia="方正仿宋_GBK" w:cs="Times New Roman"/>
          <w:color w:val="000000"/>
          <w:kern w:val="0"/>
          <w:sz w:val="33"/>
          <w:szCs w:val="33"/>
          <w:shd w:val="clear" w:color="auto" w:fill="FFFFFF"/>
          <w:lang w:val="en-US" w:eastAsia="zh-CN"/>
        </w:rPr>
        <w:t>32.5</w:t>
      </w:r>
      <w:r>
        <w:rPr>
          <w:rFonts w:hint="default" w:ascii="Times New Roman" w:hAnsi="Times New Roman" w:eastAsia="方正仿宋_GBK" w:cs="Times New Roman"/>
          <w:color w:val="000000"/>
          <w:kern w:val="0"/>
          <w:sz w:val="33"/>
          <w:szCs w:val="33"/>
          <w:shd w:val="clear" w:color="auto" w:fill="FFFFFF"/>
          <w:lang w:val="zh-CN"/>
        </w:rPr>
        <w:t>%。</w:t>
      </w:r>
    </w:p>
    <w:p>
      <w:pPr>
        <w:keepNext w:val="0"/>
        <w:keepLines w:val="0"/>
        <w:pageBreakBefore w:val="0"/>
        <w:widowControl w:val="0"/>
        <w:numPr>
          <w:ilvl w:val="0"/>
          <w:numId w:val="0"/>
        </w:numPr>
        <w:kinsoku/>
        <w:wordWrap/>
        <w:overflowPunct/>
        <w:topLinePunct w:val="0"/>
        <w:autoSpaceDE/>
        <w:autoSpaceDN/>
        <w:bidi w:val="0"/>
        <w:adjustRightInd w:val="0"/>
        <w:snapToGrid w:val="0"/>
        <w:spacing w:line="590" w:lineRule="exact"/>
        <w:ind w:firstLine="662" w:firstLineChars="200"/>
        <w:contextualSpacing/>
        <w:jc w:val="both"/>
        <w:textAlignment w:val="auto"/>
        <w:rPr>
          <w:rFonts w:hint="default" w:ascii="方正楷体_GBK" w:hAnsi="方正楷体_GBK" w:eastAsia="方正楷体_GBK" w:cs="方正楷体_GBK"/>
          <w:b/>
          <w:bCs/>
          <w:color w:val="000000"/>
          <w:kern w:val="0"/>
          <w:sz w:val="33"/>
          <w:szCs w:val="33"/>
          <w:shd w:val="clear" w:color="auto" w:fill="FFFFFF"/>
          <w:lang w:val="zh-CN"/>
        </w:rPr>
      </w:pPr>
      <w:bookmarkStart w:id="156" w:name="_Toc927803996_WPSOffice_Level3"/>
      <w:r>
        <w:rPr>
          <w:rFonts w:hint="default" w:ascii="方正楷体_GBK" w:hAnsi="方正楷体_GBK" w:eastAsia="方正楷体_GBK" w:cs="方正楷体_GBK"/>
          <w:b/>
          <w:bCs/>
          <w:color w:val="000000"/>
          <w:kern w:val="0"/>
          <w:sz w:val="33"/>
          <w:szCs w:val="33"/>
          <w:shd w:val="clear" w:color="auto" w:fill="FFFFFF"/>
          <w:lang w:val="zh-CN"/>
        </w:rPr>
        <w:t>（二）项目预算管理</w:t>
      </w:r>
      <w:bookmarkEnd w:id="156"/>
    </w:p>
    <w:p>
      <w:pPr>
        <w:keepNext w:val="0"/>
        <w:keepLines w:val="0"/>
        <w:pageBreakBefore w:val="0"/>
        <w:widowControl w:val="0"/>
        <w:numPr>
          <w:ilvl w:val="0"/>
          <w:numId w:val="0"/>
        </w:numPr>
        <w:kinsoku/>
        <w:wordWrap/>
        <w:overflowPunct/>
        <w:topLinePunct w:val="0"/>
        <w:autoSpaceDE/>
        <w:autoSpaceDN/>
        <w:bidi w:val="0"/>
        <w:adjustRightInd w:val="0"/>
        <w:snapToGrid w:val="0"/>
        <w:spacing w:line="590" w:lineRule="exact"/>
        <w:ind w:firstLine="660" w:firstLineChars="200"/>
        <w:contextualSpacing/>
        <w:jc w:val="both"/>
        <w:textAlignment w:val="auto"/>
        <w:rPr>
          <w:rFonts w:hint="default" w:ascii="Times New Roman" w:hAnsi="Times New Roman" w:eastAsia="方正仿宋_GBK" w:cs="Times New Roman"/>
          <w:color w:val="000000"/>
          <w:kern w:val="0"/>
          <w:sz w:val="33"/>
          <w:szCs w:val="33"/>
          <w:shd w:val="clear" w:color="auto" w:fill="FFFFFF"/>
          <w:lang w:val="en-US" w:eastAsia="zh-CN"/>
        </w:rPr>
      </w:pPr>
      <w:r>
        <w:rPr>
          <w:rFonts w:hint="default" w:ascii="Times New Roman" w:hAnsi="Times New Roman" w:eastAsia="方正仿宋_GBK" w:cs="Times New Roman"/>
          <w:color w:val="000000"/>
          <w:kern w:val="0"/>
          <w:sz w:val="33"/>
          <w:szCs w:val="33"/>
          <w:shd w:val="clear" w:color="auto" w:fill="FFFFFF"/>
          <w:lang w:val="en-US" w:eastAsia="zh-CN"/>
        </w:rPr>
        <w:t>2021年年初项目，出版本土教材费用。2021年5月已完成完成《华蓥烽火》出版管理费、编审费、校对费、设计费、排版费等工作，支付印刷费4.9万元，单位</w:t>
      </w:r>
      <w:r>
        <w:rPr>
          <w:rFonts w:hint="default" w:ascii="Times New Roman" w:hAnsi="Times New Roman" w:eastAsia="方正仿宋_GBK" w:cs="Times New Roman"/>
          <w:color w:val="000000"/>
          <w:kern w:val="0"/>
          <w:sz w:val="33"/>
          <w:szCs w:val="33"/>
          <w:shd w:val="clear" w:color="auto" w:fill="FFFFFF"/>
          <w:lang w:val="zh-CN"/>
        </w:rPr>
        <w:t>教学研究水平持续提升。</w:t>
      </w:r>
      <w:r>
        <w:rPr>
          <w:rFonts w:hint="default" w:ascii="Times New Roman" w:hAnsi="Times New Roman" w:eastAsia="方正仿宋_GBK" w:cs="Times New Roman"/>
          <w:sz w:val="33"/>
          <w:szCs w:val="33"/>
          <w:lang w:val="en-US" w:eastAsia="zh-CN"/>
        </w:rPr>
        <w:t>《人民的儿子—邓小平故事100个》出版工作，因涉及世纪伟人邓小平，出版程序审核严格，四川人民出版社编审审核了一次，按照修改意见修改后，编审还需要进行第二次审核，难度提升，本年度难以完成，年底调减了此项目。</w:t>
      </w:r>
    </w:p>
    <w:p>
      <w:pPr>
        <w:keepNext w:val="0"/>
        <w:keepLines w:val="0"/>
        <w:pageBreakBefore w:val="0"/>
        <w:widowControl/>
        <w:numPr>
          <w:ilvl w:val="0"/>
          <w:numId w:val="0"/>
        </w:numPr>
        <w:kinsoku/>
        <w:wordWrap/>
        <w:overflowPunct/>
        <w:topLinePunct w:val="0"/>
        <w:autoSpaceDE/>
        <w:autoSpaceDN/>
        <w:bidi w:val="0"/>
        <w:adjustRightInd w:val="0"/>
        <w:snapToGrid w:val="0"/>
        <w:spacing w:line="590" w:lineRule="exact"/>
        <w:ind w:firstLine="662" w:firstLineChars="200"/>
        <w:contextualSpacing/>
        <w:jc w:val="both"/>
        <w:textAlignment w:val="auto"/>
        <w:rPr>
          <w:rFonts w:hint="default" w:ascii="方正楷体_GBK" w:hAnsi="方正楷体_GBK" w:eastAsia="方正楷体_GBK" w:cs="方正楷体_GBK"/>
          <w:b/>
          <w:bCs/>
          <w:color w:val="000000"/>
          <w:kern w:val="0"/>
          <w:sz w:val="33"/>
          <w:szCs w:val="33"/>
          <w:shd w:val="clear" w:color="auto" w:fill="FFFFFF"/>
          <w:lang w:val="zh-CN"/>
        </w:rPr>
      </w:pPr>
      <w:bookmarkStart w:id="157" w:name="_Toc71210895_WPSOffice_Level3"/>
      <w:r>
        <w:rPr>
          <w:rFonts w:hint="eastAsia" w:ascii="方正楷体_GBK" w:hAnsi="方正楷体_GBK" w:eastAsia="方正楷体_GBK" w:cs="方正楷体_GBK"/>
          <w:b/>
          <w:bCs/>
          <w:color w:val="000000"/>
          <w:kern w:val="0"/>
          <w:sz w:val="33"/>
          <w:szCs w:val="33"/>
          <w:shd w:val="clear" w:color="auto" w:fill="FFFFFF"/>
          <w:lang w:val="zh-CN"/>
        </w:rPr>
        <w:t>（三）</w:t>
      </w:r>
      <w:r>
        <w:rPr>
          <w:rFonts w:hint="default" w:ascii="方正楷体_GBK" w:hAnsi="方正楷体_GBK" w:eastAsia="方正楷体_GBK" w:cs="方正楷体_GBK"/>
          <w:b/>
          <w:bCs/>
          <w:color w:val="000000"/>
          <w:kern w:val="0"/>
          <w:sz w:val="33"/>
          <w:szCs w:val="33"/>
          <w:shd w:val="clear" w:color="auto" w:fill="FFFFFF"/>
          <w:lang w:val="zh-CN"/>
        </w:rPr>
        <w:t>结果应用情况</w:t>
      </w:r>
      <w:bookmarkEnd w:id="157"/>
    </w:p>
    <w:p>
      <w:pPr>
        <w:keepNext w:val="0"/>
        <w:keepLines w:val="0"/>
        <w:pageBreakBefore w:val="0"/>
        <w:widowControl/>
        <w:numPr>
          <w:ilvl w:val="0"/>
          <w:numId w:val="0"/>
        </w:numPr>
        <w:kinsoku/>
        <w:wordWrap/>
        <w:overflowPunct/>
        <w:topLinePunct w:val="0"/>
        <w:autoSpaceDE/>
        <w:autoSpaceDN/>
        <w:bidi w:val="0"/>
        <w:adjustRightInd w:val="0"/>
        <w:snapToGrid w:val="0"/>
        <w:spacing w:line="590" w:lineRule="exact"/>
        <w:ind w:firstLine="660" w:firstLineChars="200"/>
        <w:contextualSpacing/>
        <w:jc w:val="both"/>
        <w:textAlignment w:val="auto"/>
        <w:rPr>
          <w:rFonts w:hint="default" w:ascii="Times New Roman" w:hAnsi="Times New Roman" w:eastAsia="方正仿宋_GBK" w:cs="Times New Roman"/>
          <w:color w:val="000000"/>
          <w:kern w:val="0"/>
          <w:sz w:val="33"/>
          <w:szCs w:val="33"/>
          <w:shd w:val="clear" w:color="auto" w:fill="FFFFFF"/>
          <w:lang w:val="zh-CN"/>
        </w:rPr>
      </w:pPr>
      <w:r>
        <w:rPr>
          <w:rFonts w:hint="default" w:ascii="Times New Roman" w:hAnsi="Times New Roman" w:eastAsia="方正仿宋_GBK" w:cs="Times New Roman"/>
          <w:color w:val="000000"/>
          <w:kern w:val="0"/>
          <w:sz w:val="33"/>
          <w:szCs w:val="33"/>
          <w:shd w:val="clear" w:color="auto" w:fill="FFFFFF"/>
          <w:lang w:val="zh-CN"/>
        </w:rPr>
        <w:t>本部门自评质量较好，绩效目标和自评结果按要求进行公开，评价结果及时进行整改并向相关部门进行反馈。</w:t>
      </w:r>
    </w:p>
    <w:p>
      <w:pPr>
        <w:keepNext w:val="0"/>
        <w:keepLines w:val="0"/>
        <w:pageBreakBefore w:val="0"/>
        <w:widowControl/>
        <w:kinsoku/>
        <w:overflowPunct/>
        <w:topLinePunct w:val="0"/>
        <w:autoSpaceDE/>
        <w:autoSpaceDN/>
        <w:bidi w:val="0"/>
        <w:adjustRightInd w:val="0"/>
        <w:snapToGrid w:val="0"/>
        <w:spacing w:line="590" w:lineRule="exact"/>
        <w:ind w:firstLine="660" w:firstLineChars="200"/>
        <w:contextualSpacing/>
        <w:jc w:val="both"/>
        <w:textAlignment w:val="auto"/>
        <w:rPr>
          <w:rFonts w:hint="default" w:ascii="方正黑体_GBK" w:hAnsi="方正黑体_GBK" w:eastAsia="方正黑体_GBK" w:cs="方正黑体_GBK"/>
          <w:color w:val="000000"/>
          <w:kern w:val="0"/>
          <w:sz w:val="33"/>
          <w:szCs w:val="33"/>
          <w:shd w:val="clear" w:color="auto" w:fill="FFFFFF"/>
        </w:rPr>
      </w:pPr>
      <w:bookmarkStart w:id="158" w:name="_Toc71210895_WPSOffice_Level2"/>
      <w:r>
        <w:rPr>
          <w:rFonts w:hint="default" w:ascii="方正黑体_GBK" w:hAnsi="方正黑体_GBK" w:eastAsia="方正黑体_GBK" w:cs="方正黑体_GBK"/>
          <w:color w:val="000000"/>
          <w:kern w:val="0"/>
          <w:sz w:val="33"/>
          <w:szCs w:val="33"/>
          <w:shd w:val="clear" w:color="auto" w:fill="FFFFFF"/>
        </w:rPr>
        <w:t>四、评价结论及建议</w:t>
      </w:r>
      <w:bookmarkEnd w:id="158"/>
    </w:p>
    <w:p>
      <w:pPr>
        <w:keepNext w:val="0"/>
        <w:keepLines w:val="0"/>
        <w:pageBreakBefore w:val="0"/>
        <w:widowControl/>
        <w:numPr>
          <w:ilvl w:val="0"/>
          <w:numId w:val="0"/>
        </w:numPr>
        <w:kinsoku/>
        <w:wordWrap/>
        <w:overflowPunct/>
        <w:topLinePunct w:val="0"/>
        <w:autoSpaceDE/>
        <w:autoSpaceDN/>
        <w:bidi w:val="0"/>
        <w:adjustRightInd w:val="0"/>
        <w:snapToGrid w:val="0"/>
        <w:spacing w:line="590" w:lineRule="exact"/>
        <w:ind w:firstLine="662" w:firstLineChars="200"/>
        <w:contextualSpacing/>
        <w:jc w:val="both"/>
        <w:textAlignment w:val="auto"/>
        <w:rPr>
          <w:rFonts w:hint="default" w:ascii="方正楷体_GBK" w:hAnsi="方正楷体_GBK" w:eastAsia="方正楷体_GBK" w:cs="方正楷体_GBK"/>
          <w:b/>
          <w:bCs/>
          <w:color w:val="000000"/>
          <w:kern w:val="0"/>
          <w:sz w:val="33"/>
          <w:szCs w:val="33"/>
          <w:shd w:val="clear" w:color="auto" w:fill="FFFFFF"/>
          <w:lang w:val="zh-CN"/>
        </w:rPr>
      </w:pPr>
      <w:bookmarkStart w:id="159" w:name="_Toc263615954_WPSOffice_Level3"/>
      <w:r>
        <w:rPr>
          <w:rFonts w:hint="default" w:ascii="方正楷体_GBK" w:hAnsi="方正楷体_GBK" w:eastAsia="方正楷体_GBK" w:cs="方正楷体_GBK"/>
          <w:b/>
          <w:bCs/>
          <w:color w:val="000000"/>
          <w:kern w:val="0"/>
          <w:sz w:val="33"/>
          <w:szCs w:val="33"/>
          <w:shd w:val="clear" w:color="auto" w:fill="FFFFFF"/>
          <w:lang w:val="zh-CN"/>
        </w:rPr>
        <w:t>（一）评价结论</w:t>
      </w:r>
      <w:bookmarkEnd w:id="159"/>
    </w:p>
    <w:p>
      <w:pPr>
        <w:keepNext w:val="0"/>
        <w:keepLines w:val="0"/>
        <w:pageBreakBefore w:val="0"/>
        <w:widowControl/>
        <w:kinsoku/>
        <w:overflowPunct/>
        <w:topLinePunct w:val="0"/>
        <w:autoSpaceDE/>
        <w:autoSpaceDN/>
        <w:bidi w:val="0"/>
        <w:adjustRightInd w:val="0"/>
        <w:snapToGrid w:val="0"/>
        <w:spacing w:line="590" w:lineRule="exact"/>
        <w:ind w:firstLine="660" w:firstLineChars="200"/>
        <w:contextualSpacing/>
        <w:jc w:val="both"/>
        <w:textAlignment w:val="auto"/>
        <w:rPr>
          <w:rFonts w:hint="default" w:ascii="Times New Roman" w:hAnsi="Times New Roman" w:eastAsia="方正仿宋_GBK" w:cs="Times New Roman"/>
          <w:color w:val="000000"/>
          <w:kern w:val="0"/>
          <w:sz w:val="33"/>
          <w:szCs w:val="33"/>
          <w:shd w:val="clear" w:color="auto" w:fill="FFFFFF"/>
          <w:lang w:val="zh-CN"/>
        </w:rPr>
      </w:pPr>
      <w:r>
        <w:rPr>
          <w:rFonts w:hint="default" w:ascii="Times New Roman" w:hAnsi="Times New Roman" w:eastAsia="方正仿宋_GBK" w:cs="Times New Roman"/>
          <w:color w:val="000000"/>
          <w:kern w:val="0"/>
          <w:sz w:val="33"/>
          <w:szCs w:val="33"/>
          <w:shd w:val="clear" w:color="auto" w:fill="FFFFFF"/>
          <w:lang w:val="zh-CN"/>
        </w:rPr>
        <w:t>从总体看，本部门整体绩效效果较好，自查得分</w:t>
      </w:r>
      <w:r>
        <w:rPr>
          <w:rFonts w:hint="default" w:ascii="Times New Roman" w:hAnsi="Times New Roman" w:eastAsia="方正仿宋_GBK" w:cs="Times New Roman"/>
          <w:color w:val="000000"/>
          <w:kern w:val="0"/>
          <w:sz w:val="33"/>
          <w:szCs w:val="33"/>
          <w:shd w:val="clear" w:color="auto" w:fill="FFFFFF"/>
          <w:lang w:val="en-US" w:eastAsia="zh-CN"/>
        </w:rPr>
        <w:t>82.06</w:t>
      </w:r>
      <w:r>
        <w:rPr>
          <w:rFonts w:hint="default" w:ascii="Times New Roman" w:hAnsi="Times New Roman" w:eastAsia="方正仿宋_GBK" w:cs="Times New Roman"/>
          <w:color w:val="000000"/>
          <w:kern w:val="0"/>
          <w:sz w:val="33"/>
          <w:szCs w:val="33"/>
          <w:shd w:val="clear" w:color="auto" w:fill="FFFFFF"/>
          <w:lang w:val="zh-CN"/>
        </w:rPr>
        <w:t>分（总分为</w:t>
      </w:r>
      <w:r>
        <w:rPr>
          <w:rFonts w:hint="default" w:ascii="Times New Roman" w:hAnsi="Times New Roman" w:eastAsia="方正仿宋_GBK" w:cs="Times New Roman"/>
          <w:color w:val="000000"/>
          <w:kern w:val="0"/>
          <w:sz w:val="33"/>
          <w:szCs w:val="33"/>
          <w:shd w:val="clear" w:color="auto" w:fill="FFFFFF"/>
          <w:lang w:val="en-US" w:eastAsia="zh-CN"/>
        </w:rPr>
        <w:t>90分</w:t>
      </w:r>
      <w:r>
        <w:rPr>
          <w:rFonts w:hint="default" w:ascii="Times New Roman" w:hAnsi="Times New Roman" w:eastAsia="方正仿宋_GBK" w:cs="Times New Roman"/>
          <w:color w:val="000000"/>
          <w:kern w:val="0"/>
          <w:sz w:val="33"/>
          <w:szCs w:val="33"/>
          <w:shd w:val="clear" w:color="auto" w:fill="FFFFFF"/>
          <w:lang w:val="zh-CN"/>
        </w:rPr>
        <w:t>）。</w:t>
      </w:r>
    </w:p>
    <w:p>
      <w:pPr>
        <w:keepNext w:val="0"/>
        <w:keepLines w:val="0"/>
        <w:pageBreakBefore w:val="0"/>
        <w:widowControl/>
        <w:numPr>
          <w:ilvl w:val="0"/>
          <w:numId w:val="0"/>
        </w:numPr>
        <w:kinsoku/>
        <w:wordWrap/>
        <w:overflowPunct/>
        <w:topLinePunct w:val="0"/>
        <w:autoSpaceDE/>
        <w:autoSpaceDN/>
        <w:bidi w:val="0"/>
        <w:adjustRightInd w:val="0"/>
        <w:snapToGrid w:val="0"/>
        <w:spacing w:line="590" w:lineRule="exact"/>
        <w:ind w:firstLine="662" w:firstLineChars="200"/>
        <w:contextualSpacing/>
        <w:jc w:val="both"/>
        <w:textAlignment w:val="auto"/>
        <w:rPr>
          <w:rFonts w:hint="eastAsia" w:ascii="方正楷体_GBK" w:hAnsi="方正楷体_GBK" w:eastAsia="方正楷体_GBK" w:cs="方正楷体_GBK"/>
          <w:b/>
          <w:bCs/>
          <w:color w:val="000000"/>
          <w:kern w:val="0"/>
          <w:sz w:val="33"/>
          <w:szCs w:val="33"/>
          <w:shd w:val="clear" w:color="auto" w:fill="FFFFFF"/>
          <w:lang w:val="zh-CN"/>
        </w:rPr>
      </w:pPr>
      <w:bookmarkStart w:id="160" w:name="_Toc246647362_WPSOffice_Level3"/>
      <w:r>
        <w:rPr>
          <w:rFonts w:hint="eastAsia" w:ascii="方正楷体_GBK" w:hAnsi="方正楷体_GBK" w:eastAsia="方正楷体_GBK" w:cs="方正楷体_GBK"/>
          <w:b/>
          <w:bCs/>
          <w:color w:val="000000"/>
          <w:kern w:val="0"/>
          <w:sz w:val="33"/>
          <w:szCs w:val="33"/>
          <w:shd w:val="clear" w:color="auto" w:fill="FFFFFF"/>
          <w:lang w:val="zh-CN"/>
        </w:rPr>
        <w:t>（二）存在问题</w:t>
      </w:r>
      <w:bookmarkEnd w:id="160"/>
    </w:p>
    <w:p>
      <w:pPr>
        <w:keepNext w:val="0"/>
        <w:keepLines w:val="0"/>
        <w:pageBreakBefore w:val="0"/>
        <w:widowControl/>
        <w:kinsoku/>
        <w:overflowPunct/>
        <w:topLinePunct w:val="0"/>
        <w:autoSpaceDE/>
        <w:autoSpaceDN/>
        <w:bidi w:val="0"/>
        <w:adjustRightInd w:val="0"/>
        <w:snapToGrid w:val="0"/>
        <w:spacing w:line="590" w:lineRule="exact"/>
        <w:ind w:firstLine="660" w:firstLineChars="200"/>
        <w:contextualSpacing/>
        <w:jc w:val="both"/>
        <w:textAlignment w:val="auto"/>
        <w:rPr>
          <w:rFonts w:hint="default" w:ascii="Times New Roman" w:hAnsi="Times New Roman" w:eastAsia="方正仿宋_GBK" w:cs="Times New Roman"/>
          <w:color w:val="000000"/>
          <w:kern w:val="0"/>
          <w:sz w:val="33"/>
          <w:szCs w:val="33"/>
          <w:shd w:val="clear" w:color="auto" w:fill="FFFFFF"/>
          <w:lang w:val="zh-CN"/>
        </w:rPr>
      </w:pPr>
      <w:r>
        <w:rPr>
          <w:rFonts w:hint="default" w:ascii="Times New Roman" w:hAnsi="Times New Roman" w:eastAsia="方正仿宋_GBK" w:cs="Times New Roman"/>
          <w:color w:val="000000"/>
          <w:kern w:val="0"/>
          <w:sz w:val="33"/>
          <w:szCs w:val="33"/>
          <w:shd w:val="clear" w:color="auto" w:fill="FFFFFF"/>
          <w:lang w:val="zh-CN"/>
        </w:rPr>
        <w:t>1.项目经费年初预算精确度不够，不能预算项目执行难度，运行期间对预算项目进行了调减。</w:t>
      </w:r>
    </w:p>
    <w:p>
      <w:pPr>
        <w:keepNext w:val="0"/>
        <w:keepLines w:val="0"/>
        <w:pageBreakBefore w:val="0"/>
        <w:widowControl/>
        <w:kinsoku/>
        <w:overflowPunct/>
        <w:topLinePunct w:val="0"/>
        <w:autoSpaceDE/>
        <w:autoSpaceDN/>
        <w:bidi w:val="0"/>
        <w:adjustRightInd w:val="0"/>
        <w:snapToGrid w:val="0"/>
        <w:spacing w:line="590" w:lineRule="exact"/>
        <w:ind w:firstLine="660" w:firstLineChars="200"/>
        <w:contextualSpacing/>
        <w:jc w:val="both"/>
        <w:textAlignment w:val="auto"/>
        <w:rPr>
          <w:rFonts w:hint="default" w:ascii="Times New Roman" w:hAnsi="Times New Roman" w:eastAsia="方正仿宋_GBK" w:cs="Times New Roman"/>
          <w:color w:val="000000"/>
          <w:kern w:val="0"/>
          <w:sz w:val="33"/>
          <w:szCs w:val="33"/>
          <w:shd w:val="clear" w:color="auto" w:fill="FFFFFF"/>
          <w:lang w:val="zh-CN"/>
        </w:rPr>
      </w:pPr>
      <w:r>
        <w:rPr>
          <w:rFonts w:hint="default" w:ascii="Times New Roman" w:hAnsi="Times New Roman" w:eastAsia="方正仿宋_GBK" w:cs="Times New Roman"/>
          <w:color w:val="000000"/>
          <w:kern w:val="0"/>
          <w:sz w:val="33"/>
          <w:szCs w:val="33"/>
          <w:shd w:val="clear" w:color="auto" w:fill="FFFFFF"/>
          <w:lang w:val="zh-CN"/>
        </w:rPr>
        <w:t>2.公用经费执行情况较差，年初预算数与决算数偏差程度为24.96%，偏差度较大。</w:t>
      </w:r>
    </w:p>
    <w:p>
      <w:pPr>
        <w:keepNext w:val="0"/>
        <w:keepLines w:val="0"/>
        <w:pageBreakBefore w:val="0"/>
        <w:widowControl/>
        <w:kinsoku/>
        <w:overflowPunct/>
        <w:topLinePunct w:val="0"/>
        <w:autoSpaceDE/>
        <w:autoSpaceDN/>
        <w:bidi w:val="0"/>
        <w:adjustRightInd w:val="0"/>
        <w:snapToGrid w:val="0"/>
        <w:spacing w:line="590" w:lineRule="exact"/>
        <w:ind w:firstLine="662" w:firstLineChars="200"/>
        <w:contextualSpacing/>
        <w:jc w:val="both"/>
        <w:textAlignment w:val="auto"/>
        <w:rPr>
          <w:rFonts w:hint="eastAsia" w:ascii="方正楷体_GBK" w:hAnsi="方正楷体_GBK" w:eastAsia="方正楷体_GBK" w:cs="方正楷体_GBK"/>
          <w:b/>
          <w:bCs/>
          <w:color w:val="000000"/>
          <w:kern w:val="0"/>
          <w:sz w:val="33"/>
          <w:szCs w:val="33"/>
          <w:shd w:val="clear" w:color="auto" w:fill="FFFFFF"/>
          <w:lang w:val="zh-CN"/>
        </w:rPr>
      </w:pPr>
      <w:bookmarkStart w:id="161" w:name="_Toc1696426006_WPSOffice_Level3"/>
      <w:r>
        <w:rPr>
          <w:rFonts w:hint="eastAsia" w:ascii="方正楷体_GBK" w:hAnsi="方正楷体_GBK" w:eastAsia="方正楷体_GBK" w:cs="方正楷体_GBK"/>
          <w:b/>
          <w:bCs/>
          <w:color w:val="000000"/>
          <w:kern w:val="0"/>
          <w:sz w:val="33"/>
          <w:szCs w:val="33"/>
          <w:shd w:val="clear" w:color="auto" w:fill="FFFFFF"/>
          <w:lang w:val="zh-CN"/>
        </w:rPr>
        <w:t>（三）改进建议</w:t>
      </w:r>
      <w:bookmarkEnd w:id="161"/>
    </w:p>
    <w:p>
      <w:pPr>
        <w:keepNext w:val="0"/>
        <w:keepLines w:val="0"/>
        <w:pageBreakBefore w:val="0"/>
        <w:widowControl w:val="0"/>
        <w:kinsoku/>
        <w:wordWrap/>
        <w:overflowPunct/>
        <w:topLinePunct w:val="0"/>
        <w:autoSpaceDE/>
        <w:autoSpaceDN/>
        <w:bidi w:val="0"/>
        <w:adjustRightInd w:val="0"/>
        <w:snapToGrid w:val="0"/>
        <w:spacing w:line="590" w:lineRule="exact"/>
        <w:ind w:firstLine="660" w:firstLineChars="200"/>
        <w:contextualSpacing/>
        <w:jc w:val="both"/>
        <w:textAlignment w:val="auto"/>
        <w:rPr>
          <w:rFonts w:hint="default" w:ascii="Times New Roman" w:hAnsi="Times New Roman" w:eastAsia="方正仿宋_GBK" w:cs="Times New Roman"/>
          <w:color w:val="000000"/>
          <w:kern w:val="0"/>
          <w:sz w:val="33"/>
          <w:szCs w:val="33"/>
          <w:shd w:val="clear" w:color="auto" w:fill="FFFFFF"/>
          <w:lang w:val="zh-CN"/>
        </w:rPr>
      </w:pPr>
      <w:r>
        <w:rPr>
          <w:rFonts w:hint="default" w:ascii="Times New Roman" w:hAnsi="Times New Roman" w:eastAsia="方正仿宋_GBK" w:cs="Times New Roman"/>
          <w:color w:val="000000"/>
          <w:kern w:val="0"/>
          <w:sz w:val="33"/>
          <w:szCs w:val="33"/>
          <w:shd w:val="clear" w:color="auto" w:fill="FFFFFF"/>
          <w:lang w:val="zh-CN"/>
        </w:rPr>
        <w:t>1.加强院校年初专项业务申报工作，合理控制专项业务经费，同时对业务与资金进行合理评估。</w:t>
      </w:r>
    </w:p>
    <w:p>
      <w:pPr>
        <w:keepNext w:val="0"/>
        <w:keepLines w:val="0"/>
        <w:pageBreakBefore w:val="0"/>
        <w:widowControl w:val="0"/>
        <w:kinsoku/>
        <w:wordWrap/>
        <w:overflowPunct/>
        <w:topLinePunct w:val="0"/>
        <w:autoSpaceDE/>
        <w:autoSpaceDN/>
        <w:bidi w:val="0"/>
        <w:adjustRightInd w:val="0"/>
        <w:snapToGrid w:val="0"/>
        <w:spacing w:line="590" w:lineRule="exact"/>
        <w:ind w:firstLine="660" w:firstLineChars="200"/>
        <w:contextualSpacing/>
        <w:jc w:val="both"/>
        <w:textAlignment w:val="auto"/>
        <w:rPr>
          <w:rFonts w:hint="default" w:ascii="Times New Roman" w:hAnsi="Times New Roman" w:eastAsia="方正仿宋_GBK" w:cs="Times New Roman"/>
          <w:color w:val="000000"/>
          <w:kern w:val="0"/>
          <w:sz w:val="33"/>
          <w:szCs w:val="33"/>
          <w:shd w:val="clear" w:color="auto" w:fill="FFFFFF"/>
          <w:lang w:val="zh-CN"/>
        </w:rPr>
      </w:pPr>
      <w:r>
        <w:rPr>
          <w:rFonts w:hint="default" w:ascii="Times New Roman" w:hAnsi="Times New Roman" w:eastAsia="方正仿宋_GBK" w:cs="Times New Roman"/>
          <w:color w:val="000000"/>
          <w:kern w:val="0"/>
          <w:sz w:val="33"/>
          <w:szCs w:val="33"/>
          <w:shd w:val="clear" w:color="auto" w:fill="FFFFFF"/>
          <w:lang w:val="zh-CN"/>
        </w:rPr>
        <w:t>2.加强公用经费的使用，合理安排开支，完成预算部门预算金额。</w:t>
      </w:r>
    </w:p>
    <w:p>
      <w:pPr>
        <w:spacing w:line="580" w:lineRule="exact"/>
        <w:ind w:firstLine="640" w:firstLineChars="200"/>
        <w:rPr>
          <w:rFonts w:ascii="仿宋_GB2312" w:hAnsi="仿宋_GB2312" w:eastAsia="仿宋_GB2312" w:cs="仿宋_GB2312"/>
          <w:sz w:val="32"/>
          <w:szCs w:val="32"/>
        </w:rPr>
      </w:pPr>
    </w:p>
    <w:p>
      <w:pPr>
        <w:rPr>
          <w:rFonts w:ascii="仿宋_GB2312" w:hAnsi="仿宋_GB2312" w:eastAsia="仿宋_GB2312" w:cs="仿宋_GB2312"/>
          <w:sz w:val="32"/>
          <w:szCs w:val="32"/>
        </w:rPr>
      </w:pPr>
      <w:r>
        <w:rPr>
          <w:rFonts w:ascii="仿宋_GB2312" w:hAnsi="仿宋_GB2312" w:eastAsia="仿宋_GB2312" w:cs="仿宋_GB2312"/>
          <w:sz w:val="32"/>
          <w:szCs w:val="32"/>
        </w:rPr>
        <w:br w:type="page"/>
      </w:r>
    </w:p>
    <w:p>
      <w:pPr>
        <w:spacing w:line="580" w:lineRule="exact"/>
        <w:rPr>
          <w:rFonts w:ascii="仿宋_GB2312" w:hAnsi="仿宋_GB2312" w:eastAsia="仿宋_GB2312" w:cs="仿宋_GB2312"/>
          <w:sz w:val="32"/>
          <w:szCs w:val="32"/>
        </w:rPr>
      </w:pPr>
      <w:r>
        <w:rPr>
          <w:rFonts w:hint="eastAsia" w:ascii="黑体" w:hAnsi="黑体" w:eastAsia="黑体" w:cs="黑体"/>
          <w:sz w:val="32"/>
          <w:szCs w:val="32"/>
        </w:rPr>
        <w:t>附件2</w:t>
      </w:r>
    </w:p>
    <w:p>
      <w:pPr>
        <w:spacing w:line="580" w:lineRule="exact"/>
        <w:ind w:firstLine="640" w:firstLineChars="200"/>
        <w:rPr>
          <w:rFonts w:ascii="仿宋_GB2312" w:hAnsi="仿宋_GB2312" w:eastAsia="仿宋_GB2312" w:cs="仿宋_GB2312"/>
          <w:sz w:val="32"/>
          <w:szCs w:val="32"/>
        </w:rPr>
      </w:pPr>
    </w:p>
    <w:p>
      <w:pPr>
        <w:widowControl/>
        <w:spacing w:line="580" w:lineRule="exact"/>
        <w:contextualSpacing/>
        <w:jc w:val="center"/>
        <w:rPr>
          <w:rFonts w:hint="eastAsia" w:ascii="方正小标宋_GBK" w:hAnsi="方正小标宋_GBK" w:eastAsia="方正小标宋_GBK" w:cs="方正小标宋_GBK"/>
          <w:sz w:val="44"/>
          <w:szCs w:val="44"/>
          <w:shd w:val="clear" w:color="auto" w:fill="FFFFFF"/>
          <w:lang w:eastAsia="zh-CN"/>
        </w:rPr>
      </w:pPr>
      <w:bookmarkStart w:id="162" w:name="_Toc263615954_WPSOffice_Level2"/>
      <w:r>
        <w:rPr>
          <w:rFonts w:hint="eastAsia" w:ascii="方正小标宋_GBK" w:hAnsi="方正小标宋_GBK" w:eastAsia="方正小标宋_GBK" w:cs="方正小标宋_GBK"/>
          <w:sz w:val="44"/>
          <w:szCs w:val="44"/>
          <w:shd w:val="clear" w:color="auto" w:fill="FFFFFF"/>
          <w:lang w:eastAsia="zh-CN"/>
        </w:rPr>
        <w:t>中共广安市委党校</w:t>
      </w:r>
      <w:bookmarkEnd w:id="162"/>
    </w:p>
    <w:p>
      <w:pPr>
        <w:widowControl/>
        <w:spacing w:line="580" w:lineRule="exact"/>
        <w:contextualSpacing/>
        <w:jc w:val="center"/>
        <w:rPr>
          <w:rFonts w:hint="default" w:ascii="Times New Roman" w:hAnsi="Times New Roman" w:eastAsia="方正小标宋_GBK" w:cs="Times New Roman"/>
          <w:sz w:val="44"/>
          <w:szCs w:val="44"/>
          <w:shd w:val="clear" w:color="auto" w:fill="FFFFFF"/>
          <w:lang w:eastAsia="zh-CN"/>
        </w:rPr>
      </w:pPr>
      <w:bookmarkStart w:id="163" w:name="_Toc246647362_WPSOffice_Level2"/>
      <w:r>
        <w:rPr>
          <w:rFonts w:hint="eastAsia" w:ascii="方正小标宋_GBK" w:hAnsi="方正小标宋_GBK" w:eastAsia="方正小标宋_GBK" w:cs="方正小标宋_GBK"/>
          <w:sz w:val="44"/>
          <w:szCs w:val="44"/>
          <w:shd w:val="clear" w:color="auto" w:fill="FFFFFF"/>
          <w:lang w:eastAsia="zh-CN"/>
        </w:rPr>
        <w:t>202</w:t>
      </w:r>
      <w:r>
        <w:rPr>
          <w:rFonts w:hint="eastAsia" w:ascii="方正小标宋_GBK" w:hAnsi="方正小标宋_GBK" w:eastAsia="方正小标宋_GBK" w:cs="方正小标宋_GBK"/>
          <w:sz w:val="44"/>
          <w:szCs w:val="44"/>
          <w:shd w:val="clear" w:color="auto" w:fill="FFFFFF"/>
          <w:lang w:val="en-US" w:eastAsia="zh-CN"/>
        </w:rPr>
        <w:t>1</w:t>
      </w:r>
      <w:r>
        <w:rPr>
          <w:rFonts w:hint="eastAsia" w:ascii="方正小标宋_GBK" w:hAnsi="方正小标宋_GBK" w:eastAsia="方正小标宋_GBK" w:cs="方正小标宋_GBK"/>
          <w:sz w:val="44"/>
          <w:szCs w:val="44"/>
          <w:shd w:val="clear" w:color="auto" w:fill="FFFFFF"/>
          <w:lang w:eastAsia="zh-CN"/>
        </w:rPr>
        <w:t>年项目支出绩效自评报告</w:t>
      </w:r>
      <w:bookmarkEnd w:id="163"/>
    </w:p>
    <w:p>
      <w:pPr>
        <w:keepNext w:val="0"/>
        <w:keepLines w:val="0"/>
        <w:pageBreakBefore w:val="0"/>
        <w:kinsoku/>
        <w:wordWrap/>
        <w:overflowPunct/>
        <w:topLinePunct w:val="0"/>
        <w:autoSpaceDE/>
        <w:autoSpaceDN/>
        <w:bidi w:val="0"/>
        <w:spacing w:line="600" w:lineRule="exact"/>
        <w:jc w:val="center"/>
        <w:textAlignment w:val="auto"/>
        <w:rPr>
          <w:rFonts w:hint="default" w:ascii="Times New Roman" w:hAnsi="Times New Roman" w:eastAsia="方正仿宋_GBK" w:cs="Times New Roman"/>
          <w:sz w:val="33"/>
          <w:szCs w:val="33"/>
          <w:lang w:val="zh-CN" w:eastAsia="zh-CN"/>
        </w:rPr>
      </w:pPr>
      <w:bookmarkStart w:id="164" w:name="_Toc1696426006_WPSOffice_Level2"/>
      <w:r>
        <w:rPr>
          <w:rFonts w:hint="default" w:ascii="Times New Roman" w:hAnsi="Times New Roman" w:eastAsia="方正仿宋_GBK" w:cs="Times New Roman"/>
          <w:sz w:val="33"/>
          <w:szCs w:val="33"/>
          <w:lang w:val="zh-CN" w:eastAsia="zh-CN"/>
        </w:rPr>
        <w:t>（出版本土教材费用项目）</w:t>
      </w:r>
      <w:bookmarkEnd w:id="164"/>
    </w:p>
    <w:p>
      <w:pPr>
        <w:pStyle w:val="9"/>
        <w:rPr>
          <w:rFonts w:hint="default"/>
        </w:rPr>
      </w:pPr>
    </w:p>
    <w:p>
      <w:pPr>
        <w:keepNext w:val="0"/>
        <w:keepLines w:val="0"/>
        <w:pageBreakBefore w:val="0"/>
        <w:widowControl w:val="0"/>
        <w:kinsoku/>
        <w:wordWrap/>
        <w:overflowPunct/>
        <w:topLinePunct w:val="0"/>
        <w:autoSpaceDE/>
        <w:autoSpaceDN/>
        <w:bidi w:val="0"/>
        <w:adjustRightInd w:val="0"/>
        <w:snapToGrid w:val="0"/>
        <w:spacing w:line="560" w:lineRule="exact"/>
        <w:ind w:firstLine="660" w:firstLineChars="200"/>
        <w:jc w:val="left"/>
        <w:textAlignment w:val="auto"/>
        <w:rPr>
          <w:rFonts w:hint="eastAsia" w:ascii="方正黑体_GBK" w:hAnsi="方正黑体_GBK" w:eastAsia="方正黑体_GBK" w:cs="方正黑体_GBK"/>
          <w:sz w:val="33"/>
          <w:szCs w:val="33"/>
          <w:lang w:val="zh-CN"/>
        </w:rPr>
      </w:pPr>
      <w:bookmarkStart w:id="165" w:name="_Toc109976739_WPSOffice_Level2"/>
      <w:r>
        <w:rPr>
          <w:rFonts w:hint="eastAsia" w:ascii="方正黑体_GBK" w:hAnsi="方正黑体_GBK" w:eastAsia="方正黑体_GBK" w:cs="方正黑体_GBK"/>
          <w:sz w:val="33"/>
          <w:szCs w:val="33"/>
        </w:rPr>
        <w:t>一、</w:t>
      </w:r>
      <w:r>
        <w:rPr>
          <w:rFonts w:hint="eastAsia" w:ascii="方正黑体_GBK" w:hAnsi="方正黑体_GBK" w:eastAsia="方正黑体_GBK" w:cs="方正黑体_GBK"/>
          <w:sz w:val="33"/>
          <w:szCs w:val="33"/>
          <w:lang w:val="zh-CN"/>
        </w:rPr>
        <w:t>项目概况</w:t>
      </w:r>
      <w:bookmarkEnd w:id="165"/>
    </w:p>
    <w:p>
      <w:pPr>
        <w:keepNext w:val="0"/>
        <w:keepLines w:val="0"/>
        <w:pageBreakBefore w:val="0"/>
        <w:widowControl w:val="0"/>
        <w:kinsoku/>
        <w:wordWrap/>
        <w:overflowPunct/>
        <w:topLinePunct w:val="0"/>
        <w:autoSpaceDE/>
        <w:autoSpaceDN/>
        <w:bidi w:val="0"/>
        <w:adjustRightInd w:val="0"/>
        <w:snapToGrid w:val="0"/>
        <w:spacing w:line="560" w:lineRule="exact"/>
        <w:ind w:firstLine="660" w:firstLineChars="200"/>
        <w:jc w:val="both"/>
        <w:textAlignment w:val="auto"/>
        <w:rPr>
          <w:rFonts w:hint="default" w:ascii="Times New Roman" w:hAnsi="Times New Roman" w:eastAsia="方正仿宋_GBK" w:cs="Times New Roman"/>
          <w:sz w:val="33"/>
          <w:szCs w:val="33"/>
          <w:lang w:val="en-US" w:eastAsia="zh-CN"/>
        </w:rPr>
      </w:pPr>
      <w:r>
        <w:rPr>
          <w:rFonts w:hint="default" w:ascii="Times New Roman" w:hAnsi="Times New Roman" w:eastAsia="方正仿宋_GBK" w:cs="Times New Roman"/>
          <w:sz w:val="33"/>
          <w:szCs w:val="33"/>
          <w:lang w:val="en-US" w:eastAsia="zh-CN"/>
        </w:rPr>
        <w:t>中共广安市委党校发挥好全国干部党性教育基地作用，学习、宣传、研究中国特色社会主义理论体系，围绕重大理论、重大现实和相关学科前沿问题开展哲学社会主义科学研究。充分利用以邓小平故里、华蓥山武装斗争为核心的优势红色资源，培育和打造全国党性教育品牌，出版本土教材，提升教学科研资政、学校对外影响力。</w:t>
      </w:r>
    </w:p>
    <w:p>
      <w:pPr>
        <w:keepNext w:val="0"/>
        <w:keepLines w:val="0"/>
        <w:pageBreakBefore w:val="0"/>
        <w:widowControl w:val="0"/>
        <w:kinsoku/>
        <w:wordWrap/>
        <w:overflowPunct/>
        <w:topLinePunct w:val="0"/>
        <w:autoSpaceDE/>
        <w:autoSpaceDN/>
        <w:bidi w:val="0"/>
        <w:adjustRightInd w:val="0"/>
        <w:snapToGrid w:val="0"/>
        <w:spacing w:line="560" w:lineRule="exact"/>
        <w:ind w:firstLine="662" w:firstLineChars="200"/>
        <w:jc w:val="both"/>
        <w:textAlignment w:val="auto"/>
        <w:rPr>
          <w:rFonts w:hint="default" w:ascii="Times New Roman" w:hAnsi="Times New Roman" w:eastAsia="方正仿宋_GBK" w:cs="Times New Roman"/>
          <w:sz w:val="33"/>
          <w:szCs w:val="33"/>
          <w:lang w:val="zh-CN"/>
        </w:rPr>
      </w:pPr>
      <w:r>
        <w:rPr>
          <w:rFonts w:hint="eastAsia" w:ascii="方正楷体_GBK" w:hAnsi="方正楷体_GBK" w:eastAsia="方正楷体_GBK" w:cs="方正楷体_GBK"/>
          <w:b/>
          <w:sz w:val="33"/>
          <w:szCs w:val="33"/>
          <w:lang w:val="zh-CN"/>
        </w:rPr>
        <w:t>（一）项目资金申报及批复情况。</w:t>
      </w:r>
      <w:r>
        <w:rPr>
          <w:rFonts w:hint="default" w:ascii="Times New Roman" w:hAnsi="Times New Roman" w:eastAsia="方正仿宋_GBK" w:cs="Times New Roman"/>
          <w:sz w:val="33"/>
          <w:szCs w:val="33"/>
          <w:lang w:val="en-US" w:eastAsia="zh-CN"/>
        </w:rPr>
        <w:t>2021年初出版本土教材费用</w:t>
      </w:r>
      <w:r>
        <w:rPr>
          <w:rFonts w:hint="default" w:ascii="Times New Roman" w:hAnsi="Times New Roman" w:eastAsia="方正仿宋_GBK" w:cs="Times New Roman"/>
          <w:sz w:val="33"/>
          <w:szCs w:val="33"/>
          <w:lang w:val="zh-CN"/>
        </w:rPr>
        <w:t>项目资金申报</w:t>
      </w:r>
      <w:r>
        <w:rPr>
          <w:rFonts w:hint="default" w:ascii="Times New Roman" w:hAnsi="Times New Roman" w:eastAsia="方正仿宋_GBK" w:cs="Times New Roman"/>
          <w:sz w:val="33"/>
          <w:szCs w:val="33"/>
          <w:lang w:val="en-US" w:eastAsia="zh-CN"/>
        </w:rPr>
        <w:t>10万元，财政批复10万元，预算合理未进行调整，</w:t>
      </w:r>
      <w:r>
        <w:rPr>
          <w:rFonts w:hint="default" w:ascii="Times New Roman" w:hAnsi="Times New Roman" w:eastAsia="方正仿宋_GBK" w:cs="Times New Roman"/>
          <w:sz w:val="33"/>
          <w:szCs w:val="33"/>
          <w:lang w:val="zh-CN"/>
        </w:rPr>
        <w:t>符合资金管理办法等相关规定。</w:t>
      </w:r>
    </w:p>
    <w:p>
      <w:pPr>
        <w:keepNext w:val="0"/>
        <w:keepLines w:val="0"/>
        <w:pageBreakBefore w:val="0"/>
        <w:widowControl w:val="0"/>
        <w:kinsoku/>
        <w:wordWrap/>
        <w:overflowPunct/>
        <w:topLinePunct w:val="0"/>
        <w:autoSpaceDE/>
        <w:autoSpaceDN/>
        <w:bidi w:val="0"/>
        <w:adjustRightInd w:val="0"/>
        <w:snapToGrid w:val="0"/>
        <w:spacing w:line="560" w:lineRule="exact"/>
        <w:ind w:firstLine="662" w:firstLineChars="200"/>
        <w:jc w:val="both"/>
        <w:textAlignment w:val="auto"/>
        <w:rPr>
          <w:rFonts w:hint="default" w:ascii="Times New Roman" w:hAnsi="Times New Roman" w:eastAsia="方正仿宋_GBK" w:cs="Times New Roman"/>
          <w:sz w:val="33"/>
          <w:szCs w:val="33"/>
          <w:lang w:val="zh-CN" w:eastAsia="zh-CN"/>
        </w:rPr>
      </w:pPr>
      <w:r>
        <w:rPr>
          <w:rFonts w:hint="default" w:ascii="方正楷体_GBK" w:hAnsi="方正楷体_GBK" w:eastAsia="方正楷体_GBK" w:cs="方正楷体_GBK"/>
          <w:b/>
          <w:sz w:val="33"/>
          <w:szCs w:val="33"/>
          <w:lang w:val="zh-CN"/>
        </w:rPr>
        <w:t>（二）项目绩效目标。</w:t>
      </w:r>
      <w:r>
        <w:rPr>
          <w:rFonts w:hint="default" w:ascii="Times New Roman" w:hAnsi="Times New Roman" w:eastAsia="方正仿宋_GBK" w:cs="Times New Roman"/>
          <w:sz w:val="33"/>
          <w:szCs w:val="33"/>
          <w:lang w:val="zh-CN" w:eastAsia="zh-CN"/>
        </w:rPr>
        <w:t>通过教学研究出版书籍，预计</w:t>
      </w:r>
      <w:r>
        <w:rPr>
          <w:rFonts w:hint="default" w:ascii="Times New Roman" w:hAnsi="Times New Roman" w:eastAsia="方正仿宋_GBK" w:cs="Times New Roman"/>
          <w:sz w:val="33"/>
          <w:szCs w:val="33"/>
          <w:lang w:val="en-US" w:eastAsia="zh-CN"/>
        </w:rPr>
        <w:t>2021年底，</w:t>
      </w:r>
      <w:r>
        <w:rPr>
          <w:rFonts w:hint="default" w:ascii="Times New Roman" w:hAnsi="Times New Roman" w:eastAsia="方正仿宋_GBK" w:cs="Times New Roman"/>
          <w:sz w:val="33"/>
          <w:szCs w:val="33"/>
          <w:lang w:val="zh-CN" w:eastAsia="zh-CN"/>
        </w:rPr>
        <w:t>完成《华蓥烽火》出版管理费、编审费、校对费、设计费、排版费等工作；完成《人民的儿子—邓小平故事100个》印刷、图书包销等工作。</w:t>
      </w:r>
    </w:p>
    <w:p>
      <w:pPr>
        <w:keepNext w:val="0"/>
        <w:keepLines w:val="0"/>
        <w:pageBreakBefore w:val="0"/>
        <w:widowControl w:val="0"/>
        <w:kinsoku/>
        <w:wordWrap/>
        <w:overflowPunct/>
        <w:topLinePunct w:val="0"/>
        <w:autoSpaceDE/>
        <w:autoSpaceDN/>
        <w:bidi w:val="0"/>
        <w:adjustRightInd w:val="0"/>
        <w:snapToGrid w:val="0"/>
        <w:spacing w:line="560" w:lineRule="exact"/>
        <w:ind w:firstLine="662" w:firstLineChars="200"/>
        <w:jc w:val="both"/>
        <w:textAlignment w:val="auto"/>
        <w:rPr>
          <w:rFonts w:hint="default" w:ascii="Times New Roman" w:hAnsi="Times New Roman" w:eastAsia="方正仿宋_GBK" w:cs="Times New Roman"/>
          <w:sz w:val="33"/>
          <w:szCs w:val="33"/>
          <w:lang w:val="zh-CN" w:eastAsia="zh-CN"/>
        </w:rPr>
      </w:pPr>
      <w:r>
        <w:rPr>
          <w:rFonts w:hint="default" w:ascii="方正楷体_GBK" w:hAnsi="方正楷体_GBK" w:eastAsia="方正楷体_GBK" w:cs="方正楷体_GBK"/>
          <w:b/>
          <w:sz w:val="33"/>
          <w:szCs w:val="33"/>
          <w:lang w:val="zh-CN"/>
        </w:rPr>
        <w:t>（三）项目资金申报相符性。</w:t>
      </w:r>
      <w:r>
        <w:rPr>
          <w:rFonts w:hint="default" w:ascii="Times New Roman" w:hAnsi="Times New Roman" w:eastAsia="方正仿宋_GBK" w:cs="Times New Roman"/>
          <w:sz w:val="33"/>
          <w:szCs w:val="33"/>
          <w:lang w:val="zh-CN" w:eastAsia="zh-CN"/>
        </w:rPr>
        <w:t>项目申报内容与具体实施内容相符、申报目标合理可行。</w:t>
      </w:r>
    </w:p>
    <w:p>
      <w:pPr>
        <w:keepNext w:val="0"/>
        <w:keepLines w:val="0"/>
        <w:pageBreakBefore w:val="0"/>
        <w:widowControl w:val="0"/>
        <w:kinsoku/>
        <w:wordWrap/>
        <w:overflowPunct/>
        <w:topLinePunct w:val="0"/>
        <w:autoSpaceDE/>
        <w:autoSpaceDN/>
        <w:bidi w:val="0"/>
        <w:adjustRightInd w:val="0"/>
        <w:snapToGrid w:val="0"/>
        <w:spacing w:line="560" w:lineRule="exact"/>
        <w:ind w:firstLine="660" w:firstLineChars="200"/>
        <w:jc w:val="both"/>
        <w:textAlignment w:val="auto"/>
        <w:rPr>
          <w:rFonts w:hint="eastAsia" w:ascii="方正黑体_GBK" w:hAnsi="方正黑体_GBK" w:eastAsia="方正黑体_GBK" w:cs="方正黑体_GBK"/>
          <w:sz w:val="33"/>
          <w:szCs w:val="33"/>
        </w:rPr>
      </w:pPr>
      <w:bookmarkStart w:id="166" w:name="_Toc1173594980_WPSOffice_Level2"/>
      <w:r>
        <w:rPr>
          <w:rFonts w:hint="eastAsia" w:ascii="方正黑体_GBK" w:hAnsi="方正黑体_GBK" w:eastAsia="方正黑体_GBK" w:cs="方正黑体_GBK"/>
          <w:sz w:val="33"/>
          <w:szCs w:val="33"/>
        </w:rPr>
        <w:t>二、项目实施及管理情况</w:t>
      </w:r>
      <w:bookmarkEnd w:id="166"/>
    </w:p>
    <w:p>
      <w:pPr>
        <w:keepNext w:val="0"/>
        <w:keepLines w:val="0"/>
        <w:pageBreakBefore w:val="0"/>
        <w:widowControl w:val="0"/>
        <w:kinsoku/>
        <w:wordWrap/>
        <w:overflowPunct/>
        <w:topLinePunct w:val="0"/>
        <w:autoSpaceDE/>
        <w:autoSpaceDN/>
        <w:bidi w:val="0"/>
        <w:adjustRightInd w:val="0"/>
        <w:snapToGrid w:val="0"/>
        <w:spacing w:line="560" w:lineRule="exact"/>
        <w:ind w:firstLine="662" w:firstLineChars="200"/>
        <w:jc w:val="both"/>
        <w:textAlignment w:val="auto"/>
        <w:rPr>
          <w:rFonts w:hint="default" w:ascii="方正楷体_GBK" w:hAnsi="方正楷体_GBK" w:eastAsia="方正楷体_GBK" w:cs="方正楷体_GBK"/>
          <w:b/>
          <w:sz w:val="33"/>
          <w:szCs w:val="33"/>
          <w:lang w:val="zh-CN"/>
        </w:rPr>
      </w:pPr>
      <w:r>
        <w:rPr>
          <w:rFonts w:hint="default" w:ascii="方正楷体_GBK" w:hAnsi="方正楷体_GBK" w:eastAsia="方正楷体_GBK" w:cs="方正楷体_GBK"/>
          <w:b/>
          <w:sz w:val="33"/>
          <w:szCs w:val="33"/>
          <w:lang w:val="zh-CN"/>
        </w:rPr>
        <w:tab/>
      </w:r>
      <w:bookmarkStart w:id="167" w:name="_Toc109976739_WPSOffice_Level3"/>
      <w:r>
        <w:rPr>
          <w:rFonts w:hint="default" w:ascii="方正楷体_GBK" w:hAnsi="方正楷体_GBK" w:eastAsia="方正楷体_GBK" w:cs="方正楷体_GBK"/>
          <w:b/>
          <w:sz w:val="33"/>
          <w:szCs w:val="33"/>
          <w:lang w:val="zh-CN"/>
        </w:rPr>
        <w:t>（一）资金计划、到位及使用情况</w:t>
      </w:r>
      <w:bookmarkEnd w:id="167"/>
    </w:p>
    <w:p>
      <w:pPr>
        <w:keepNext w:val="0"/>
        <w:keepLines w:val="0"/>
        <w:pageBreakBefore w:val="0"/>
        <w:widowControl w:val="0"/>
        <w:kinsoku/>
        <w:wordWrap/>
        <w:overflowPunct/>
        <w:topLinePunct w:val="0"/>
        <w:autoSpaceDE/>
        <w:autoSpaceDN/>
        <w:bidi w:val="0"/>
        <w:adjustRightInd w:val="0"/>
        <w:snapToGrid w:val="0"/>
        <w:spacing w:line="560" w:lineRule="exact"/>
        <w:ind w:firstLine="662" w:firstLineChars="200"/>
        <w:jc w:val="both"/>
        <w:textAlignment w:val="auto"/>
        <w:rPr>
          <w:rFonts w:hint="default" w:ascii="Times New Roman" w:hAnsi="Times New Roman" w:eastAsia="方正仿宋_GBK" w:cs="Times New Roman"/>
          <w:sz w:val="33"/>
          <w:szCs w:val="33"/>
          <w:lang w:val="zh-CN" w:eastAsia="zh-CN"/>
        </w:rPr>
      </w:pPr>
      <w:r>
        <w:rPr>
          <w:rFonts w:hint="default" w:ascii="Times New Roman" w:hAnsi="Times New Roman" w:eastAsia="方正仿宋_GBK" w:cs="Times New Roman"/>
          <w:b/>
          <w:bCs/>
          <w:sz w:val="33"/>
          <w:szCs w:val="33"/>
          <w:lang w:val="zh-CN"/>
        </w:rPr>
        <w:t>1．资金计划及到位。</w:t>
      </w:r>
      <w:r>
        <w:rPr>
          <w:rFonts w:hint="default" w:ascii="Times New Roman" w:hAnsi="Times New Roman" w:eastAsia="方正仿宋_GBK" w:cs="Times New Roman"/>
          <w:sz w:val="33"/>
          <w:szCs w:val="33"/>
          <w:lang w:val="zh-CN" w:eastAsia="zh-CN"/>
        </w:rPr>
        <w:t>出版本土教材费用项目计划</w:t>
      </w:r>
      <w:r>
        <w:rPr>
          <w:rFonts w:hint="default" w:ascii="Times New Roman" w:hAnsi="Times New Roman" w:eastAsia="方正仿宋_GBK" w:cs="Times New Roman"/>
          <w:sz w:val="33"/>
          <w:szCs w:val="33"/>
          <w:lang w:val="en-US" w:eastAsia="zh-CN"/>
        </w:rPr>
        <w:t>10万元</w:t>
      </w:r>
      <w:r>
        <w:rPr>
          <w:rFonts w:hint="default" w:ascii="Times New Roman" w:hAnsi="Times New Roman" w:eastAsia="方正仿宋_GBK" w:cs="Times New Roman"/>
          <w:sz w:val="33"/>
          <w:szCs w:val="33"/>
          <w:lang w:val="zh-CN" w:eastAsia="zh-CN"/>
        </w:rPr>
        <w:t>，财政拨款收入</w:t>
      </w:r>
      <w:r>
        <w:rPr>
          <w:rFonts w:hint="default" w:ascii="Times New Roman" w:hAnsi="Times New Roman" w:eastAsia="方正仿宋_GBK" w:cs="Times New Roman"/>
          <w:sz w:val="33"/>
          <w:szCs w:val="33"/>
          <w:lang w:val="en-US" w:eastAsia="zh-CN"/>
        </w:rPr>
        <w:t>10万元，</w:t>
      </w:r>
      <w:r>
        <w:rPr>
          <w:rFonts w:hint="default" w:ascii="Times New Roman" w:hAnsi="Times New Roman" w:eastAsia="方正仿宋_GBK" w:cs="Times New Roman"/>
          <w:sz w:val="33"/>
          <w:szCs w:val="33"/>
          <w:lang w:val="zh-CN" w:eastAsia="zh-CN"/>
        </w:rPr>
        <w:t>资金到位率</w:t>
      </w:r>
      <w:r>
        <w:rPr>
          <w:rFonts w:hint="default" w:ascii="Times New Roman" w:hAnsi="Times New Roman" w:eastAsia="方正仿宋_GBK" w:cs="Times New Roman"/>
          <w:sz w:val="33"/>
          <w:szCs w:val="33"/>
          <w:lang w:val="en-US" w:eastAsia="zh-CN"/>
        </w:rPr>
        <w:t>100%，年初</w:t>
      </w:r>
      <w:r>
        <w:rPr>
          <w:rFonts w:hint="default" w:ascii="Times New Roman" w:hAnsi="Times New Roman" w:eastAsia="方正仿宋_GBK" w:cs="Times New Roman"/>
          <w:sz w:val="33"/>
          <w:szCs w:val="33"/>
          <w:lang w:val="zh-CN" w:eastAsia="zh-CN"/>
        </w:rPr>
        <w:t>及时足额到位。</w:t>
      </w:r>
    </w:p>
    <w:p>
      <w:pPr>
        <w:keepNext w:val="0"/>
        <w:keepLines w:val="0"/>
        <w:pageBreakBefore w:val="0"/>
        <w:widowControl w:val="0"/>
        <w:kinsoku/>
        <w:wordWrap/>
        <w:overflowPunct/>
        <w:topLinePunct w:val="0"/>
        <w:autoSpaceDE/>
        <w:autoSpaceDN/>
        <w:bidi w:val="0"/>
        <w:adjustRightInd w:val="0"/>
        <w:snapToGrid w:val="0"/>
        <w:spacing w:line="560" w:lineRule="exact"/>
        <w:ind w:firstLine="662" w:firstLineChars="200"/>
        <w:jc w:val="both"/>
        <w:textAlignment w:val="auto"/>
        <w:rPr>
          <w:rFonts w:hint="default" w:ascii="Times New Roman" w:hAnsi="Times New Roman" w:eastAsia="方正仿宋_GBK" w:cs="Times New Roman"/>
          <w:sz w:val="33"/>
          <w:szCs w:val="33"/>
          <w:lang w:val="en-US" w:eastAsia="zh-CN"/>
        </w:rPr>
      </w:pPr>
      <w:r>
        <w:rPr>
          <w:rFonts w:hint="default" w:ascii="Times New Roman" w:hAnsi="Times New Roman" w:eastAsia="方正仿宋_GBK" w:cs="Times New Roman"/>
          <w:b/>
          <w:bCs/>
          <w:sz w:val="33"/>
          <w:szCs w:val="33"/>
          <w:lang w:val="zh-CN"/>
        </w:rPr>
        <w:t>2．资金使用。</w:t>
      </w:r>
      <w:r>
        <w:rPr>
          <w:rFonts w:hint="default" w:ascii="Times New Roman" w:hAnsi="Times New Roman" w:eastAsia="方正仿宋_GBK" w:cs="Times New Roman"/>
          <w:sz w:val="33"/>
          <w:szCs w:val="33"/>
          <w:lang w:val="zh-CN" w:eastAsia="zh-CN"/>
        </w:rPr>
        <w:t>截止</w:t>
      </w:r>
      <w:r>
        <w:rPr>
          <w:rFonts w:hint="default" w:ascii="Times New Roman" w:hAnsi="Times New Roman" w:eastAsia="方正仿宋_GBK" w:cs="Times New Roman"/>
          <w:sz w:val="33"/>
          <w:szCs w:val="33"/>
          <w:lang w:val="en-US" w:eastAsia="zh-CN"/>
        </w:rPr>
        <w:t>2021年12月底，《华蓥烽火》出版前期工作支出4.9万元，</w:t>
      </w:r>
      <w:r>
        <w:rPr>
          <w:rFonts w:hint="default" w:ascii="Times New Roman" w:hAnsi="Times New Roman" w:eastAsia="方正仿宋_GBK" w:cs="Times New Roman"/>
          <w:sz w:val="33"/>
          <w:szCs w:val="33"/>
          <w:lang w:val="zh-CN" w:eastAsia="zh-CN"/>
        </w:rPr>
        <w:t>支付依据合规合法；</w:t>
      </w:r>
      <w:r>
        <w:rPr>
          <w:rFonts w:hint="default" w:ascii="Times New Roman" w:hAnsi="Times New Roman" w:eastAsia="方正仿宋_GBK" w:cs="Times New Roman"/>
          <w:sz w:val="33"/>
          <w:szCs w:val="33"/>
          <w:lang w:val="en-US" w:eastAsia="zh-CN"/>
        </w:rPr>
        <w:t>年底5.1万元做调减收回财政。</w:t>
      </w:r>
    </w:p>
    <w:p>
      <w:pPr>
        <w:keepNext w:val="0"/>
        <w:keepLines w:val="0"/>
        <w:pageBreakBefore w:val="0"/>
        <w:widowControl w:val="0"/>
        <w:kinsoku/>
        <w:wordWrap/>
        <w:overflowPunct/>
        <w:topLinePunct w:val="0"/>
        <w:autoSpaceDE/>
        <w:autoSpaceDN/>
        <w:bidi w:val="0"/>
        <w:adjustRightInd w:val="0"/>
        <w:snapToGrid w:val="0"/>
        <w:spacing w:line="560" w:lineRule="exact"/>
        <w:ind w:firstLine="662" w:firstLineChars="200"/>
        <w:jc w:val="both"/>
        <w:textAlignment w:val="auto"/>
        <w:rPr>
          <w:rFonts w:hint="default" w:ascii="方正楷体_GBK" w:hAnsi="方正楷体_GBK" w:eastAsia="方正楷体_GBK" w:cs="方正楷体_GBK"/>
          <w:b/>
          <w:sz w:val="33"/>
          <w:szCs w:val="33"/>
          <w:lang w:val="zh-CN"/>
        </w:rPr>
      </w:pPr>
      <w:bookmarkStart w:id="168" w:name="_Toc1173594980_WPSOffice_Level3"/>
      <w:r>
        <w:rPr>
          <w:rFonts w:hint="default" w:ascii="方正楷体_GBK" w:hAnsi="方正楷体_GBK" w:eastAsia="方正楷体_GBK" w:cs="方正楷体_GBK"/>
          <w:b/>
          <w:sz w:val="33"/>
          <w:szCs w:val="33"/>
          <w:lang w:val="zh-CN"/>
        </w:rPr>
        <w:t>（二）项目财务管理情况</w:t>
      </w:r>
      <w:bookmarkEnd w:id="168"/>
    </w:p>
    <w:p>
      <w:pPr>
        <w:keepNext w:val="0"/>
        <w:keepLines w:val="0"/>
        <w:pageBreakBefore w:val="0"/>
        <w:widowControl w:val="0"/>
        <w:kinsoku/>
        <w:wordWrap/>
        <w:overflowPunct/>
        <w:topLinePunct w:val="0"/>
        <w:autoSpaceDE/>
        <w:autoSpaceDN/>
        <w:bidi w:val="0"/>
        <w:adjustRightInd w:val="0"/>
        <w:snapToGrid w:val="0"/>
        <w:spacing w:line="560" w:lineRule="exact"/>
        <w:ind w:firstLine="660" w:firstLineChars="200"/>
        <w:jc w:val="both"/>
        <w:textAlignment w:val="auto"/>
        <w:rPr>
          <w:rFonts w:hint="default" w:ascii="Times New Roman" w:hAnsi="Times New Roman" w:eastAsia="方正仿宋_GBK" w:cs="Times New Roman"/>
          <w:sz w:val="33"/>
          <w:szCs w:val="33"/>
          <w:lang w:val="zh-CN" w:eastAsia="zh-CN"/>
        </w:rPr>
      </w:pPr>
      <w:r>
        <w:rPr>
          <w:rFonts w:hint="default" w:ascii="Times New Roman" w:hAnsi="Times New Roman" w:eastAsia="方正仿宋_GBK" w:cs="Times New Roman"/>
          <w:sz w:val="33"/>
          <w:szCs w:val="33"/>
          <w:lang w:val="zh-CN" w:eastAsia="zh-CN"/>
        </w:rPr>
        <w:t>会计核算与账务处理等流程与本单位财务管理制度一致；项目严格执行财务管理制度、财务处理及时、会计核算规范。</w:t>
      </w:r>
    </w:p>
    <w:p>
      <w:pPr>
        <w:keepNext w:val="0"/>
        <w:keepLines w:val="0"/>
        <w:pageBreakBefore w:val="0"/>
        <w:widowControl w:val="0"/>
        <w:kinsoku/>
        <w:wordWrap/>
        <w:overflowPunct/>
        <w:topLinePunct w:val="0"/>
        <w:autoSpaceDE/>
        <w:autoSpaceDN/>
        <w:bidi w:val="0"/>
        <w:adjustRightInd w:val="0"/>
        <w:snapToGrid w:val="0"/>
        <w:spacing w:line="560" w:lineRule="exact"/>
        <w:ind w:firstLine="662" w:firstLineChars="200"/>
        <w:jc w:val="both"/>
        <w:textAlignment w:val="auto"/>
        <w:rPr>
          <w:rFonts w:hint="default" w:ascii="方正楷体_GBK" w:hAnsi="方正楷体_GBK" w:eastAsia="方正楷体_GBK" w:cs="方正楷体_GBK"/>
          <w:b/>
          <w:sz w:val="33"/>
          <w:szCs w:val="33"/>
          <w:lang w:val="zh-CN"/>
        </w:rPr>
      </w:pPr>
      <w:bookmarkStart w:id="169" w:name="_Toc818652913_WPSOffice_Level3"/>
      <w:r>
        <w:rPr>
          <w:rFonts w:hint="default" w:ascii="方正楷体_GBK" w:hAnsi="方正楷体_GBK" w:eastAsia="方正楷体_GBK" w:cs="方正楷体_GBK"/>
          <w:b/>
          <w:sz w:val="33"/>
          <w:szCs w:val="33"/>
          <w:lang w:val="zh-CN"/>
        </w:rPr>
        <w:t>（三）项目组织实施情况</w:t>
      </w:r>
      <w:bookmarkEnd w:id="169"/>
    </w:p>
    <w:p>
      <w:pPr>
        <w:keepNext w:val="0"/>
        <w:keepLines w:val="0"/>
        <w:pageBreakBefore w:val="0"/>
        <w:widowControl w:val="0"/>
        <w:kinsoku/>
        <w:wordWrap/>
        <w:overflowPunct/>
        <w:topLinePunct w:val="0"/>
        <w:autoSpaceDE/>
        <w:autoSpaceDN/>
        <w:bidi w:val="0"/>
        <w:adjustRightInd w:val="0"/>
        <w:snapToGrid w:val="0"/>
        <w:spacing w:line="560" w:lineRule="exact"/>
        <w:ind w:firstLine="660" w:firstLineChars="200"/>
        <w:jc w:val="both"/>
        <w:textAlignment w:val="auto"/>
        <w:rPr>
          <w:rFonts w:hint="default" w:ascii="Times New Roman" w:hAnsi="Times New Roman" w:eastAsia="方正仿宋_GBK" w:cs="Times New Roman"/>
          <w:sz w:val="33"/>
          <w:szCs w:val="33"/>
          <w:lang w:val="zh-CN" w:eastAsia="zh-CN"/>
        </w:rPr>
      </w:pPr>
      <w:r>
        <w:rPr>
          <w:rFonts w:hint="default" w:ascii="Times New Roman" w:hAnsi="Times New Roman" w:eastAsia="方正仿宋_GBK" w:cs="Times New Roman"/>
          <w:sz w:val="33"/>
          <w:szCs w:val="33"/>
          <w:lang w:val="zh-CN" w:eastAsia="zh-CN"/>
        </w:rPr>
        <w:t>实施部门进行监管、项目金额为</w:t>
      </w:r>
      <w:r>
        <w:rPr>
          <w:rFonts w:hint="default" w:ascii="Times New Roman" w:hAnsi="Times New Roman" w:eastAsia="方正仿宋_GBK" w:cs="Times New Roman"/>
          <w:sz w:val="33"/>
          <w:szCs w:val="33"/>
          <w:lang w:val="en-US" w:eastAsia="zh-CN"/>
        </w:rPr>
        <w:t>10万元未达到政府采购标准</w:t>
      </w:r>
      <w:r>
        <w:rPr>
          <w:rFonts w:hint="default" w:ascii="Times New Roman" w:hAnsi="Times New Roman" w:eastAsia="方正仿宋_GBK" w:cs="Times New Roman"/>
          <w:sz w:val="33"/>
          <w:szCs w:val="33"/>
          <w:lang w:val="zh-CN" w:eastAsia="zh-CN"/>
        </w:rPr>
        <w:t>，进行内部采购程序。</w:t>
      </w:r>
    </w:p>
    <w:p>
      <w:pPr>
        <w:keepNext w:val="0"/>
        <w:keepLines w:val="0"/>
        <w:pageBreakBefore w:val="0"/>
        <w:widowControl w:val="0"/>
        <w:kinsoku/>
        <w:wordWrap/>
        <w:overflowPunct/>
        <w:topLinePunct w:val="0"/>
        <w:autoSpaceDE/>
        <w:autoSpaceDN/>
        <w:bidi w:val="0"/>
        <w:adjustRightInd w:val="0"/>
        <w:snapToGrid w:val="0"/>
        <w:spacing w:line="560" w:lineRule="exact"/>
        <w:ind w:firstLine="660" w:firstLineChars="200"/>
        <w:jc w:val="both"/>
        <w:textAlignment w:val="auto"/>
        <w:rPr>
          <w:rFonts w:hint="eastAsia" w:ascii="方正黑体_GBK" w:hAnsi="方正黑体_GBK" w:eastAsia="方正黑体_GBK" w:cs="方正黑体_GBK"/>
          <w:sz w:val="33"/>
          <w:szCs w:val="33"/>
          <w:lang w:val="zh-CN"/>
        </w:rPr>
      </w:pPr>
      <w:bookmarkStart w:id="170" w:name="_Toc818652913_WPSOffice_Level2"/>
      <w:r>
        <w:rPr>
          <w:rFonts w:hint="eastAsia" w:ascii="方正黑体_GBK" w:hAnsi="方正黑体_GBK" w:eastAsia="方正黑体_GBK" w:cs="方正黑体_GBK"/>
          <w:sz w:val="33"/>
          <w:szCs w:val="33"/>
        </w:rPr>
        <w:t>三、项目绩效情况</w:t>
      </w:r>
      <w:bookmarkEnd w:id="170"/>
      <w:r>
        <w:rPr>
          <w:rFonts w:hint="eastAsia" w:ascii="方正黑体_GBK" w:hAnsi="方正黑体_GBK" w:eastAsia="方正黑体_GBK" w:cs="方正黑体_GBK"/>
          <w:sz w:val="33"/>
          <w:szCs w:val="33"/>
          <w:lang w:val="zh-CN"/>
        </w:rPr>
        <w:tab/>
      </w:r>
    </w:p>
    <w:p>
      <w:pPr>
        <w:keepNext w:val="0"/>
        <w:keepLines w:val="0"/>
        <w:pageBreakBefore w:val="0"/>
        <w:widowControl w:val="0"/>
        <w:kinsoku/>
        <w:wordWrap/>
        <w:overflowPunct/>
        <w:topLinePunct w:val="0"/>
        <w:autoSpaceDE/>
        <w:autoSpaceDN/>
        <w:bidi w:val="0"/>
        <w:adjustRightInd w:val="0"/>
        <w:snapToGrid w:val="0"/>
        <w:spacing w:line="560" w:lineRule="exact"/>
        <w:ind w:firstLine="662" w:firstLineChars="200"/>
        <w:jc w:val="both"/>
        <w:textAlignment w:val="auto"/>
        <w:rPr>
          <w:rFonts w:hint="eastAsia" w:ascii="方正楷体_GBK" w:hAnsi="方正楷体_GBK" w:eastAsia="方正楷体_GBK" w:cs="方正楷体_GBK"/>
          <w:b/>
          <w:sz w:val="33"/>
          <w:szCs w:val="33"/>
          <w:lang w:val="zh-CN"/>
        </w:rPr>
      </w:pPr>
      <w:bookmarkStart w:id="171" w:name="_Toc1662062578_WPSOffice_Level3"/>
      <w:r>
        <w:rPr>
          <w:rFonts w:hint="eastAsia" w:ascii="方正楷体_GBK" w:hAnsi="方正楷体_GBK" w:eastAsia="方正楷体_GBK" w:cs="方正楷体_GBK"/>
          <w:b/>
          <w:sz w:val="33"/>
          <w:szCs w:val="33"/>
          <w:lang w:val="zh-CN"/>
        </w:rPr>
        <w:t>（一）项目完成情况</w:t>
      </w:r>
      <w:bookmarkEnd w:id="171"/>
    </w:p>
    <w:p>
      <w:pPr>
        <w:keepNext w:val="0"/>
        <w:keepLines w:val="0"/>
        <w:pageBreakBefore w:val="0"/>
        <w:widowControl w:val="0"/>
        <w:kinsoku/>
        <w:wordWrap/>
        <w:overflowPunct/>
        <w:topLinePunct w:val="0"/>
        <w:autoSpaceDE/>
        <w:autoSpaceDN/>
        <w:bidi w:val="0"/>
        <w:adjustRightInd w:val="0"/>
        <w:snapToGrid w:val="0"/>
        <w:spacing w:line="560" w:lineRule="exact"/>
        <w:ind w:firstLine="660" w:firstLineChars="200"/>
        <w:jc w:val="both"/>
        <w:textAlignment w:val="auto"/>
        <w:rPr>
          <w:rFonts w:hint="default" w:ascii="Times New Roman" w:hAnsi="Times New Roman" w:eastAsia="方正仿宋_GBK" w:cs="Times New Roman"/>
          <w:b/>
          <w:sz w:val="33"/>
          <w:szCs w:val="33"/>
          <w:lang w:val="zh-CN"/>
        </w:rPr>
      </w:pPr>
      <w:r>
        <w:rPr>
          <w:rFonts w:hint="default" w:ascii="Times New Roman" w:hAnsi="Times New Roman" w:eastAsia="方正仿宋_GBK" w:cs="Times New Roman"/>
          <w:sz w:val="33"/>
          <w:szCs w:val="33"/>
          <w:lang w:val="en-US" w:eastAsia="zh-CN"/>
        </w:rPr>
        <w:t>2021年底完成《华蓥烽火》出版前期工作1项，出版按合同约定执行完成100%，完成支付4.9万元。《人民的儿子—邓小平故事100个》出版工作，因涉及世纪伟人邓小平，出版程序审核严格，四川人民出版社编审审核了一次，按照修改意见修改后，编审还需要进行第二次审核，难度提升，本年度难以完成，故调减此项目。</w:t>
      </w:r>
    </w:p>
    <w:p>
      <w:pPr>
        <w:keepNext w:val="0"/>
        <w:keepLines w:val="0"/>
        <w:pageBreakBefore w:val="0"/>
        <w:widowControl w:val="0"/>
        <w:kinsoku/>
        <w:wordWrap/>
        <w:overflowPunct/>
        <w:topLinePunct w:val="0"/>
        <w:autoSpaceDE/>
        <w:autoSpaceDN/>
        <w:bidi w:val="0"/>
        <w:adjustRightInd w:val="0"/>
        <w:snapToGrid w:val="0"/>
        <w:spacing w:line="560" w:lineRule="exact"/>
        <w:ind w:firstLine="662" w:firstLineChars="200"/>
        <w:jc w:val="both"/>
        <w:textAlignment w:val="auto"/>
        <w:rPr>
          <w:rFonts w:hint="eastAsia" w:ascii="方正楷体_GBK" w:hAnsi="方正楷体_GBK" w:eastAsia="方正楷体_GBK" w:cs="方正楷体_GBK"/>
          <w:b/>
          <w:sz w:val="33"/>
          <w:szCs w:val="33"/>
          <w:lang w:val="zh-CN"/>
        </w:rPr>
      </w:pPr>
      <w:bookmarkStart w:id="172" w:name="_Toc758273621_WPSOffice_Level3"/>
      <w:r>
        <w:rPr>
          <w:rFonts w:hint="eastAsia" w:ascii="方正楷体_GBK" w:hAnsi="方正楷体_GBK" w:eastAsia="方正楷体_GBK" w:cs="方正楷体_GBK"/>
          <w:b/>
          <w:sz w:val="33"/>
          <w:szCs w:val="33"/>
          <w:lang w:val="zh-CN"/>
        </w:rPr>
        <w:t>（二）项目效益情况</w:t>
      </w:r>
      <w:bookmarkEnd w:id="172"/>
    </w:p>
    <w:p>
      <w:pPr>
        <w:keepNext w:val="0"/>
        <w:keepLines w:val="0"/>
        <w:pageBreakBefore w:val="0"/>
        <w:widowControl w:val="0"/>
        <w:kinsoku/>
        <w:wordWrap/>
        <w:overflowPunct/>
        <w:topLinePunct w:val="0"/>
        <w:autoSpaceDE/>
        <w:autoSpaceDN/>
        <w:bidi w:val="0"/>
        <w:adjustRightInd w:val="0"/>
        <w:snapToGrid w:val="0"/>
        <w:spacing w:line="560" w:lineRule="exact"/>
        <w:ind w:firstLine="660" w:firstLineChars="200"/>
        <w:jc w:val="both"/>
        <w:textAlignment w:val="auto"/>
        <w:rPr>
          <w:rFonts w:hint="default" w:ascii="Times New Roman" w:hAnsi="Times New Roman" w:eastAsia="方正仿宋_GBK" w:cs="Times New Roman"/>
          <w:sz w:val="33"/>
          <w:szCs w:val="33"/>
          <w:lang w:val="zh-CN" w:eastAsia="zh-CN"/>
        </w:rPr>
      </w:pPr>
      <w:r>
        <w:rPr>
          <w:rFonts w:hint="default" w:ascii="Times New Roman" w:hAnsi="Times New Roman" w:eastAsia="方正仿宋_GBK" w:cs="Times New Roman"/>
          <w:sz w:val="33"/>
          <w:szCs w:val="33"/>
          <w:lang w:val="zh-CN" w:eastAsia="zh-CN"/>
        </w:rPr>
        <w:t>院</w:t>
      </w:r>
      <w:r>
        <w:rPr>
          <w:rFonts w:hint="eastAsia" w:ascii="Times New Roman" w:hAnsi="Times New Roman" w:eastAsia="方正仿宋_GBK" w:cs="Times New Roman"/>
          <w:sz w:val="33"/>
          <w:szCs w:val="33"/>
          <w:lang w:val="zh-CN" w:eastAsia="zh-CN"/>
        </w:rPr>
        <w:t>（</w:t>
      </w:r>
      <w:r>
        <w:rPr>
          <w:rFonts w:hint="default" w:ascii="Times New Roman" w:hAnsi="Times New Roman" w:eastAsia="方正仿宋_GBK" w:cs="Times New Roman"/>
          <w:sz w:val="33"/>
          <w:szCs w:val="33"/>
          <w:lang w:val="zh-CN" w:eastAsia="zh-CN"/>
        </w:rPr>
        <w:t>校</w:t>
      </w:r>
      <w:r>
        <w:rPr>
          <w:rFonts w:hint="eastAsia" w:ascii="Times New Roman" w:hAnsi="Times New Roman" w:eastAsia="方正仿宋_GBK" w:cs="Times New Roman"/>
          <w:sz w:val="33"/>
          <w:szCs w:val="33"/>
          <w:lang w:val="zh-CN" w:eastAsia="zh-CN"/>
        </w:rPr>
        <w:t>）</w:t>
      </w:r>
      <w:r>
        <w:rPr>
          <w:rFonts w:hint="default" w:ascii="Times New Roman" w:hAnsi="Times New Roman" w:eastAsia="方正仿宋_GBK" w:cs="Times New Roman"/>
          <w:sz w:val="33"/>
          <w:szCs w:val="33"/>
          <w:lang w:val="zh-CN" w:eastAsia="zh-CN"/>
        </w:rPr>
        <w:t>的知名度和影响力持续扩大，教学研究水平持续提升，培训规模持续扩大，提高学院满意度，达到90%以上。</w:t>
      </w:r>
    </w:p>
    <w:p>
      <w:pPr>
        <w:keepNext w:val="0"/>
        <w:keepLines w:val="0"/>
        <w:pageBreakBefore w:val="0"/>
        <w:widowControl w:val="0"/>
        <w:kinsoku/>
        <w:wordWrap/>
        <w:overflowPunct/>
        <w:topLinePunct w:val="0"/>
        <w:autoSpaceDE/>
        <w:autoSpaceDN/>
        <w:bidi w:val="0"/>
        <w:adjustRightInd w:val="0"/>
        <w:snapToGrid w:val="0"/>
        <w:spacing w:line="560" w:lineRule="exact"/>
        <w:ind w:firstLine="660" w:firstLineChars="200"/>
        <w:jc w:val="both"/>
        <w:textAlignment w:val="auto"/>
        <w:rPr>
          <w:rFonts w:hint="eastAsia" w:ascii="方正黑体_GBK" w:hAnsi="方正黑体_GBK" w:eastAsia="方正黑体_GBK" w:cs="方正黑体_GBK"/>
          <w:sz w:val="33"/>
          <w:szCs w:val="33"/>
        </w:rPr>
      </w:pPr>
      <w:bookmarkStart w:id="173" w:name="_Toc1662062578_WPSOffice_Level2"/>
      <w:r>
        <w:rPr>
          <w:rFonts w:hint="eastAsia" w:ascii="方正黑体_GBK" w:hAnsi="方正黑体_GBK" w:eastAsia="方正黑体_GBK" w:cs="方正黑体_GBK"/>
          <w:sz w:val="33"/>
          <w:szCs w:val="33"/>
        </w:rPr>
        <w:t>四、问题及建议</w:t>
      </w:r>
      <w:bookmarkEnd w:id="173"/>
    </w:p>
    <w:p>
      <w:pPr>
        <w:keepNext w:val="0"/>
        <w:keepLines w:val="0"/>
        <w:pageBreakBefore w:val="0"/>
        <w:widowControl w:val="0"/>
        <w:kinsoku/>
        <w:wordWrap/>
        <w:overflowPunct/>
        <w:topLinePunct w:val="0"/>
        <w:autoSpaceDE/>
        <w:autoSpaceDN/>
        <w:bidi w:val="0"/>
        <w:adjustRightInd w:val="0"/>
        <w:snapToGrid w:val="0"/>
        <w:spacing w:line="560" w:lineRule="exact"/>
        <w:ind w:firstLine="662" w:firstLineChars="200"/>
        <w:jc w:val="both"/>
        <w:textAlignment w:val="auto"/>
        <w:rPr>
          <w:rFonts w:hint="eastAsia" w:ascii="方正楷体_GBK" w:hAnsi="方正楷体_GBK" w:eastAsia="方正楷体_GBK" w:cs="方正楷体_GBK"/>
          <w:b/>
          <w:sz w:val="33"/>
          <w:szCs w:val="33"/>
          <w:lang w:val="zh-CN"/>
        </w:rPr>
      </w:pPr>
      <w:bookmarkStart w:id="174" w:name="_Toc1329859838_WPSOffice_Level3"/>
      <w:r>
        <w:rPr>
          <w:rFonts w:hint="eastAsia" w:ascii="方正楷体_GBK" w:hAnsi="方正楷体_GBK" w:eastAsia="方正楷体_GBK" w:cs="方正楷体_GBK"/>
          <w:b/>
          <w:sz w:val="33"/>
          <w:szCs w:val="33"/>
          <w:lang w:val="zh-CN"/>
        </w:rPr>
        <w:t>（一）存在的问题</w:t>
      </w:r>
      <w:bookmarkEnd w:id="174"/>
    </w:p>
    <w:p>
      <w:pPr>
        <w:keepNext w:val="0"/>
        <w:keepLines w:val="0"/>
        <w:pageBreakBefore w:val="0"/>
        <w:widowControl w:val="0"/>
        <w:kinsoku/>
        <w:wordWrap/>
        <w:overflowPunct/>
        <w:topLinePunct w:val="0"/>
        <w:autoSpaceDE/>
        <w:autoSpaceDN/>
        <w:bidi w:val="0"/>
        <w:adjustRightInd w:val="0"/>
        <w:snapToGrid w:val="0"/>
        <w:spacing w:line="560" w:lineRule="exact"/>
        <w:ind w:firstLine="660" w:firstLineChars="200"/>
        <w:jc w:val="both"/>
        <w:textAlignment w:val="auto"/>
        <w:rPr>
          <w:rFonts w:hint="default" w:ascii="Times New Roman" w:hAnsi="Times New Roman" w:eastAsia="方正仿宋_GBK" w:cs="Times New Roman"/>
          <w:sz w:val="33"/>
          <w:szCs w:val="33"/>
          <w:lang w:val="en-US" w:eastAsia="zh-CN"/>
        </w:rPr>
      </w:pPr>
      <w:r>
        <w:rPr>
          <w:rFonts w:hint="default" w:ascii="Times New Roman" w:hAnsi="Times New Roman" w:eastAsia="方正仿宋_GBK" w:cs="Times New Roman"/>
          <w:sz w:val="33"/>
          <w:szCs w:val="33"/>
          <w:lang w:val="en-US" w:eastAsia="zh-CN"/>
        </w:rPr>
        <w:t>存在问题：项目预算完成率较低。出版本土教材费用项目完成4.9万元，完成率49%，其中出版《人民的儿子—邓小平故事100个》工作5.1万元未完成支付，年底调减收回财政。</w:t>
      </w:r>
    </w:p>
    <w:p>
      <w:pPr>
        <w:keepNext w:val="0"/>
        <w:keepLines w:val="0"/>
        <w:pageBreakBefore w:val="0"/>
        <w:widowControl w:val="0"/>
        <w:kinsoku/>
        <w:wordWrap/>
        <w:overflowPunct/>
        <w:topLinePunct w:val="0"/>
        <w:autoSpaceDE/>
        <w:autoSpaceDN/>
        <w:bidi w:val="0"/>
        <w:adjustRightInd w:val="0"/>
        <w:snapToGrid w:val="0"/>
        <w:spacing w:line="560" w:lineRule="exact"/>
        <w:ind w:firstLine="660" w:firstLineChars="200"/>
        <w:jc w:val="both"/>
        <w:textAlignment w:val="auto"/>
        <w:rPr>
          <w:rFonts w:hint="default" w:ascii="Times New Roman" w:hAnsi="Times New Roman" w:eastAsia="方正仿宋_GBK" w:cs="Times New Roman"/>
          <w:sz w:val="33"/>
          <w:szCs w:val="33"/>
          <w:lang w:val="en-US" w:eastAsia="zh-CN"/>
        </w:rPr>
      </w:pPr>
      <w:r>
        <w:rPr>
          <w:rFonts w:hint="default" w:ascii="Times New Roman" w:hAnsi="Times New Roman" w:eastAsia="方正仿宋_GBK" w:cs="Times New Roman"/>
          <w:sz w:val="33"/>
          <w:szCs w:val="33"/>
          <w:lang w:val="en-US" w:eastAsia="zh-CN"/>
        </w:rPr>
        <w:t>改进意见：结合实际合理安排预算，同时对不能完成的预算及时作出调整，提高资金使用率。</w:t>
      </w:r>
    </w:p>
    <w:p>
      <w:pPr>
        <w:keepNext w:val="0"/>
        <w:keepLines w:val="0"/>
        <w:pageBreakBefore w:val="0"/>
        <w:widowControl w:val="0"/>
        <w:numPr>
          <w:ilvl w:val="0"/>
          <w:numId w:val="5"/>
        </w:numPr>
        <w:kinsoku/>
        <w:wordWrap/>
        <w:overflowPunct/>
        <w:topLinePunct w:val="0"/>
        <w:autoSpaceDE/>
        <w:autoSpaceDN/>
        <w:bidi w:val="0"/>
        <w:adjustRightInd w:val="0"/>
        <w:snapToGrid w:val="0"/>
        <w:spacing w:line="560" w:lineRule="exact"/>
        <w:ind w:firstLine="662" w:firstLineChars="200"/>
        <w:jc w:val="both"/>
        <w:textAlignment w:val="auto"/>
        <w:rPr>
          <w:rFonts w:hint="eastAsia" w:ascii="方正楷体_GBK" w:hAnsi="方正楷体_GBK" w:eastAsia="方正楷体_GBK" w:cs="方正楷体_GBK"/>
          <w:b/>
          <w:sz w:val="33"/>
          <w:szCs w:val="33"/>
          <w:lang w:val="zh-CN"/>
        </w:rPr>
      </w:pPr>
      <w:bookmarkStart w:id="175" w:name="_Toc1224461412_WPSOffice_Level3"/>
      <w:r>
        <w:rPr>
          <w:rFonts w:hint="eastAsia" w:ascii="方正楷体_GBK" w:hAnsi="方正楷体_GBK" w:eastAsia="方正楷体_GBK" w:cs="方正楷体_GBK"/>
          <w:b/>
          <w:sz w:val="33"/>
          <w:szCs w:val="33"/>
          <w:lang w:val="zh-CN"/>
        </w:rPr>
        <w:t>相关建议</w:t>
      </w:r>
      <w:bookmarkEnd w:id="175"/>
    </w:p>
    <w:p>
      <w:pPr>
        <w:keepNext w:val="0"/>
        <w:keepLines w:val="0"/>
        <w:pageBreakBefore w:val="0"/>
        <w:widowControl w:val="0"/>
        <w:numPr>
          <w:ilvl w:val="0"/>
          <w:numId w:val="0"/>
        </w:numPr>
        <w:kinsoku/>
        <w:wordWrap/>
        <w:overflowPunct/>
        <w:topLinePunct w:val="0"/>
        <w:autoSpaceDE/>
        <w:autoSpaceDN/>
        <w:bidi w:val="0"/>
        <w:adjustRightInd w:val="0"/>
        <w:snapToGrid w:val="0"/>
        <w:spacing w:line="560" w:lineRule="exact"/>
        <w:ind w:firstLine="660" w:firstLineChars="200"/>
        <w:jc w:val="both"/>
        <w:textAlignment w:val="auto"/>
        <w:rPr>
          <w:rFonts w:hint="eastAsia" w:eastAsia="方正仿宋_GBK" w:cs="Times New Roman"/>
          <w:sz w:val="33"/>
          <w:szCs w:val="33"/>
          <w:lang w:val="zh-CN" w:eastAsia="zh-CN"/>
        </w:rPr>
        <w:sectPr>
          <w:pgSz w:w="11850" w:h="16838"/>
          <w:pgMar w:top="2041" w:right="1531" w:bottom="1701" w:left="1531" w:header="851" w:footer="1474" w:gutter="0"/>
          <w:cols w:space="720" w:num="1"/>
          <w:docGrid w:type="lines" w:linePitch="312" w:charSpace="0"/>
        </w:sectPr>
      </w:pPr>
      <w:r>
        <w:rPr>
          <w:rFonts w:hint="default" w:ascii="Times New Roman" w:hAnsi="Times New Roman" w:eastAsia="方正仿宋_GBK" w:cs="Times New Roman"/>
          <w:sz w:val="33"/>
          <w:szCs w:val="33"/>
          <w:lang w:val="zh-CN" w:eastAsia="zh-CN"/>
        </w:rPr>
        <w:t>无</w:t>
      </w:r>
      <w:r>
        <w:rPr>
          <w:rFonts w:hint="eastAsia" w:ascii="Times New Roman" w:hAnsi="Times New Roman" w:eastAsia="方正仿宋_GBK" w:cs="Times New Roman"/>
          <w:sz w:val="33"/>
          <w:szCs w:val="33"/>
          <w:lang w:val="zh-CN" w:eastAsia="zh-CN"/>
        </w:rPr>
        <w:t>意</w:t>
      </w:r>
      <w:r>
        <w:rPr>
          <w:rFonts w:hint="eastAsia" w:eastAsia="方正仿宋_GBK" w:cs="Times New Roman"/>
          <w:sz w:val="33"/>
          <w:szCs w:val="33"/>
          <w:lang w:val="zh-CN" w:eastAsia="zh-CN"/>
        </w:rPr>
        <w:t>见。</w:t>
      </w:r>
    </w:p>
    <w:p>
      <w:pPr>
        <w:spacing w:line="580" w:lineRule="exact"/>
        <w:ind w:firstLine="640"/>
        <w:rPr>
          <w:rFonts w:ascii="仿宋_GB2312" w:hAnsi="仿宋_GB2312" w:eastAsia="仿宋_GB2312" w:cs="仿宋_GB2312"/>
          <w:sz w:val="32"/>
          <w:szCs w:val="32"/>
        </w:rPr>
      </w:pPr>
    </w:p>
    <w:p>
      <w:pPr>
        <w:spacing w:line="580" w:lineRule="exact"/>
        <w:ind w:firstLine="640"/>
        <w:rPr>
          <w:rFonts w:ascii="仿宋_GB2312" w:hAnsi="仿宋_GB2312" w:eastAsia="仿宋_GB2312" w:cs="仿宋_GB2312"/>
          <w:sz w:val="32"/>
          <w:szCs w:val="32"/>
        </w:rPr>
      </w:pPr>
    </w:p>
    <w:p>
      <w:pPr>
        <w:widowControl/>
        <w:jc w:val="left"/>
        <w:rPr>
          <w:rStyle w:val="25"/>
          <w:rFonts w:ascii="黑体" w:hAnsi="黑体" w:eastAsia="黑体"/>
          <w:b w:val="0"/>
        </w:rPr>
      </w:pPr>
    </w:p>
    <w:p>
      <w:pPr>
        <w:widowControl/>
        <w:jc w:val="left"/>
        <w:rPr>
          <w:rStyle w:val="25"/>
          <w:rFonts w:ascii="黑体" w:hAnsi="黑体" w:eastAsia="黑体"/>
          <w:b w:val="0"/>
        </w:rPr>
      </w:pPr>
      <w:r>
        <w:rPr>
          <w:rStyle w:val="25"/>
          <w:rFonts w:ascii="黑体" w:hAnsi="黑体" w:eastAsia="黑体"/>
          <w:b w:val="0"/>
        </w:rPr>
        <w:br w:type="page"/>
      </w:r>
    </w:p>
    <w:p>
      <w:pPr>
        <w:spacing w:line="600" w:lineRule="exact"/>
        <w:jc w:val="center"/>
        <w:outlineLvl w:val="0"/>
        <w:rPr>
          <w:rStyle w:val="25"/>
          <w:rFonts w:ascii="黑体" w:hAnsi="黑体" w:eastAsia="黑体"/>
          <w:b w:val="0"/>
        </w:rPr>
      </w:pPr>
    </w:p>
    <w:p>
      <w:pPr>
        <w:spacing w:line="600" w:lineRule="exact"/>
        <w:jc w:val="center"/>
        <w:outlineLvl w:val="0"/>
        <w:rPr>
          <w:rStyle w:val="25"/>
          <w:rFonts w:ascii="黑体" w:hAnsi="黑体" w:eastAsia="黑体"/>
          <w:b w:val="0"/>
        </w:rPr>
      </w:pPr>
      <w:bookmarkStart w:id="176" w:name="_Toc15396618"/>
      <w:bookmarkStart w:id="177" w:name="_Toc187644787_WPSOffice_Level1"/>
      <w:r>
        <w:rPr>
          <w:rFonts w:hint="eastAsia" w:ascii="黑体" w:hAnsi="黑体" w:eastAsia="黑体"/>
          <w:color w:val="000000"/>
          <w:sz w:val="44"/>
          <w:szCs w:val="44"/>
        </w:rPr>
        <w:t>第</w:t>
      </w:r>
      <w:r>
        <w:rPr>
          <w:rStyle w:val="25"/>
          <w:rFonts w:hint="eastAsia" w:ascii="黑体" w:hAnsi="黑体" w:eastAsia="黑体"/>
          <w:b w:val="0"/>
        </w:rPr>
        <w:t>五部分 附表</w:t>
      </w:r>
      <w:bookmarkEnd w:id="142"/>
      <w:bookmarkEnd w:id="176"/>
      <w:bookmarkEnd w:id="177"/>
    </w:p>
    <w:p>
      <w:pPr>
        <w:pStyle w:val="4"/>
        <w:rPr>
          <w:rFonts w:ascii="仿宋" w:hAnsi="仿宋" w:eastAsia="仿宋"/>
          <w:color w:val="000000"/>
        </w:rPr>
      </w:pPr>
      <w:bookmarkStart w:id="178" w:name="_Toc15396619"/>
      <w:bookmarkStart w:id="179" w:name="_Toc758273621_WPSOffice_Level2"/>
      <w:r>
        <w:rPr>
          <w:rFonts w:hint="eastAsia" w:ascii="仿宋" w:hAnsi="仿宋" w:eastAsia="仿宋"/>
          <w:b w:val="0"/>
          <w:color w:val="000000"/>
        </w:rPr>
        <w:t>一、收</w:t>
      </w:r>
      <w:r>
        <w:rPr>
          <w:rStyle w:val="26"/>
          <w:rFonts w:hint="eastAsia" w:ascii="仿宋" w:hAnsi="仿宋" w:eastAsia="仿宋"/>
          <w:b w:val="0"/>
          <w:bCs w:val="0"/>
        </w:rPr>
        <w:t>入支出决算总表</w:t>
      </w:r>
      <w:bookmarkEnd w:id="178"/>
      <w:bookmarkEnd w:id="179"/>
    </w:p>
    <w:p>
      <w:pPr>
        <w:pStyle w:val="4"/>
        <w:rPr>
          <w:rFonts w:ascii="仿宋" w:hAnsi="仿宋" w:eastAsia="仿宋"/>
          <w:color w:val="000000"/>
        </w:rPr>
      </w:pPr>
      <w:bookmarkStart w:id="180" w:name="_Toc1329859838_WPSOffice_Level2"/>
      <w:bookmarkStart w:id="181" w:name="_Toc15396620"/>
      <w:r>
        <w:rPr>
          <w:rFonts w:hint="eastAsia" w:ascii="仿宋" w:hAnsi="仿宋" w:eastAsia="仿宋"/>
          <w:b w:val="0"/>
          <w:color w:val="000000"/>
        </w:rPr>
        <w:t>二、收</w:t>
      </w:r>
      <w:r>
        <w:rPr>
          <w:rStyle w:val="26"/>
          <w:rFonts w:hint="eastAsia" w:ascii="仿宋" w:hAnsi="仿宋" w:eastAsia="仿宋"/>
          <w:b w:val="0"/>
          <w:bCs w:val="0"/>
        </w:rPr>
        <w:t>入决算表</w:t>
      </w:r>
      <w:bookmarkEnd w:id="180"/>
      <w:bookmarkEnd w:id="181"/>
    </w:p>
    <w:p>
      <w:pPr>
        <w:pStyle w:val="4"/>
        <w:rPr>
          <w:rFonts w:ascii="仿宋" w:hAnsi="仿宋" w:eastAsia="仿宋"/>
          <w:color w:val="000000"/>
        </w:rPr>
      </w:pPr>
      <w:bookmarkStart w:id="182" w:name="_Toc1224461412_WPSOffice_Level2"/>
      <w:bookmarkStart w:id="183" w:name="_Toc15396621"/>
      <w:r>
        <w:rPr>
          <w:rStyle w:val="26"/>
          <w:rFonts w:hint="eastAsia" w:ascii="仿宋" w:hAnsi="仿宋" w:eastAsia="仿宋"/>
          <w:b w:val="0"/>
          <w:bCs w:val="0"/>
        </w:rPr>
        <w:t>三、</w:t>
      </w:r>
      <w:r>
        <w:rPr>
          <w:rFonts w:hint="eastAsia" w:ascii="仿宋" w:hAnsi="仿宋" w:eastAsia="仿宋"/>
          <w:b w:val="0"/>
          <w:color w:val="000000"/>
        </w:rPr>
        <w:t>支</w:t>
      </w:r>
      <w:r>
        <w:rPr>
          <w:rStyle w:val="26"/>
          <w:rFonts w:hint="eastAsia" w:ascii="仿宋" w:hAnsi="仿宋" w:eastAsia="仿宋"/>
          <w:b w:val="0"/>
          <w:bCs w:val="0"/>
        </w:rPr>
        <w:t>出决算表</w:t>
      </w:r>
      <w:bookmarkEnd w:id="182"/>
      <w:bookmarkEnd w:id="183"/>
    </w:p>
    <w:p>
      <w:pPr>
        <w:pStyle w:val="4"/>
        <w:rPr>
          <w:rFonts w:ascii="仿宋" w:hAnsi="仿宋" w:eastAsia="仿宋"/>
          <w:b w:val="0"/>
          <w:color w:val="000000"/>
        </w:rPr>
      </w:pPr>
      <w:bookmarkStart w:id="184" w:name="_Toc1644051497_WPSOffice_Level2"/>
      <w:bookmarkStart w:id="185" w:name="_Toc15396622"/>
      <w:r>
        <w:rPr>
          <w:rStyle w:val="26"/>
          <w:rFonts w:hint="eastAsia" w:ascii="仿宋" w:hAnsi="仿宋" w:eastAsia="仿宋"/>
          <w:b w:val="0"/>
          <w:bCs w:val="0"/>
        </w:rPr>
        <w:t>四、</w:t>
      </w:r>
      <w:r>
        <w:rPr>
          <w:rFonts w:hint="eastAsia" w:ascii="仿宋" w:hAnsi="仿宋" w:eastAsia="仿宋"/>
          <w:b w:val="0"/>
          <w:color w:val="000000"/>
        </w:rPr>
        <w:t>财</w:t>
      </w:r>
      <w:r>
        <w:rPr>
          <w:rStyle w:val="26"/>
          <w:rFonts w:hint="eastAsia" w:ascii="仿宋" w:hAnsi="仿宋" w:eastAsia="仿宋"/>
          <w:b w:val="0"/>
          <w:bCs w:val="0"/>
        </w:rPr>
        <w:t>政拨款收入支出决算总表</w:t>
      </w:r>
      <w:bookmarkEnd w:id="184"/>
      <w:bookmarkEnd w:id="185"/>
    </w:p>
    <w:p>
      <w:pPr>
        <w:pStyle w:val="4"/>
        <w:rPr>
          <w:rStyle w:val="26"/>
          <w:rFonts w:ascii="仿宋" w:hAnsi="仿宋" w:eastAsia="仿宋"/>
          <w:b w:val="0"/>
          <w:bCs w:val="0"/>
        </w:rPr>
      </w:pPr>
      <w:bookmarkStart w:id="186" w:name="_Toc827915488_WPSOffice_Level2"/>
      <w:bookmarkStart w:id="187" w:name="_Toc15396623"/>
      <w:r>
        <w:rPr>
          <w:rStyle w:val="26"/>
          <w:rFonts w:hint="eastAsia" w:ascii="仿宋" w:hAnsi="仿宋" w:eastAsia="仿宋"/>
          <w:b w:val="0"/>
          <w:bCs w:val="0"/>
        </w:rPr>
        <w:t>五、</w:t>
      </w:r>
      <w:r>
        <w:rPr>
          <w:rFonts w:hint="eastAsia" w:ascii="仿宋" w:hAnsi="仿宋" w:eastAsia="仿宋"/>
          <w:b w:val="0"/>
          <w:color w:val="000000"/>
        </w:rPr>
        <w:t>财</w:t>
      </w:r>
      <w:r>
        <w:rPr>
          <w:rStyle w:val="26"/>
          <w:rFonts w:hint="eastAsia" w:ascii="仿宋" w:hAnsi="仿宋" w:eastAsia="仿宋"/>
          <w:b w:val="0"/>
          <w:bCs w:val="0"/>
        </w:rPr>
        <w:t>政拨款支出决算明细表</w:t>
      </w:r>
      <w:bookmarkEnd w:id="186"/>
      <w:bookmarkEnd w:id="187"/>
      <w:bookmarkStart w:id="188" w:name="_Toc15396624"/>
    </w:p>
    <w:p>
      <w:pPr>
        <w:pStyle w:val="4"/>
        <w:rPr>
          <w:rFonts w:ascii="仿宋" w:hAnsi="仿宋" w:eastAsia="仿宋"/>
          <w:color w:val="000000"/>
        </w:rPr>
      </w:pPr>
      <w:bookmarkStart w:id="189" w:name="_Toc1543346322_WPSOffice_Level2"/>
      <w:r>
        <w:rPr>
          <w:rStyle w:val="26"/>
          <w:rFonts w:hint="eastAsia" w:ascii="仿宋" w:hAnsi="仿宋" w:eastAsia="仿宋"/>
          <w:b w:val="0"/>
          <w:bCs w:val="0"/>
        </w:rPr>
        <w:t>六、</w:t>
      </w:r>
      <w:r>
        <w:rPr>
          <w:rFonts w:hint="eastAsia" w:ascii="仿宋" w:hAnsi="仿宋" w:eastAsia="仿宋"/>
          <w:b w:val="0"/>
          <w:color w:val="000000"/>
        </w:rPr>
        <w:t>一</w:t>
      </w:r>
      <w:r>
        <w:rPr>
          <w:rStyle w:val="26"/>
          <w:rFonts w:hint="eastAsia" w:ascii="仿宋" w:hAnsi="仿宋" w:eastAsia="仿宋"/>
          <w:b w:val="0"/>
          <w:bCs w:val="0"/>
        </w:rPr>
        <w:t>般公共预算财政拨款支出决算表</w:t>
      </w:r>
      <w:bookmarkEnd w:id="188"/>
      <w:bookmarkEnd w:id="189"/>
    </w:p>
    <w:p>
      <w:pPr>
        <w:pStyle w:val="4"/>
        <w:rPr>
          <w:rFonts w:ascii="仿宋" w:hAnsi="仿宋" w:eastAsia="仿宋"/>
          <w:color w:val="000000"/>
        </w:rPr>
      </w:pPr>
      <w:bookmarkStart w:id="190" w:name="_Toc1695228712_WPSOffice_Level2"/>
      <w:bookmarkStart w:id="191" w:name="_Toc15396625"/>
      <w:r>
        <w:rPr>
          <w:rStyle w:val="26"/>
          <w:rFonts w:hint="eastAsia" w:ascii="仿宋" w:hAnsi="仿宋" w:eastAsia="仿宋"/>
          <w:b w:val="0"/>
          <w:bCs w:val="0"/>
        </w:rPr>
        <w:t>七、</w:t>
      </w:r>
      <w:r>
        <w:rPr>
          <w:rFonts w:hint="eastAsia" w:ascii="仿宋" w:hAnsi="仿宋" w:eastAsia="仿宋"/>
          <w:b w:val="0"/>
          <w:color w:val="000000"/>
        </w:rPr>
        <w:t>一</w:t>
      </w:r>
      <w:r>
        <w:rPr>
          <w:rStyle w:val="26"/>
          <w:rFonts w:hint="eastAsia" w:ascii="仿宋" w:hAnsi="仿宋" w:eastAsia="仿宋"/>
          <w:b w:val="0"/>
          <w:bCs w:val="0"/>
        </w:rPr>
        <w:t>般公共预算财政拨款支出决算明细表</w:t>
      </w:r>
      <w:bookmarkEnd w:id="190"/>
      <w:bookmarkEnd w:id="191"/>
    </w:p>
    <w:p>
      <w:pPr>
        <w:pStyle w:val="4"/>
        <w:rPr>
          <w:rFonts w:ascii="仿宋" w:hAnsi="仿宋" w:eastAsia="仿宋"/>
          <w:color w:val="000000"/>
        </w:rPr>
      </w:pPr>
      <w:bookmarkStart w:id="192" w:name="_Toc1682152912_WPSOffice_Level2"/>
      <w:bookmarkStart w:id="193" w:name="_Toc15396626"/>
      <w:r>
        <w:rPr>
          <w:rStyle w:val="26"/>
          <w:rFonts w:hint="eastAsia" w:ascii="仿宋" w:hAnsi="仿宋" w:eastAsia="仿宋"/>
          <w:b w:val="0"/>
          <w:bCs w:val="0"/>
        </w:rPr>
        <w:t>八、</w:t>
      </w:r>
      <w:r>
        <w:rPr>
          <w:rFonts w:hint="eastAsia" w:ascii="仿宋" w:hAnsi="仿宋" w:eastAsia="仿宋"/>
          <w:b w:val="0"/>
          <w:color w:val="000000"/>
        </w:rPr>
        <w:t>一</w:t>
      </w:r>
      <w:r>
        <w:rPr>
          <w:rStyle w:val="26"/>
          <w:rFonts w:hint="eastAsia" w:ascii="仿宋" w:hAnsi="仿宋" w:eastAsia="仿宋"/>
          <w:b w:val="0"/>
          <w:bCs w:val="0"/>
        </w:rPr>
        <w:t>般公共预算财政拨款基本支出决算表</w:t>
      </w:r>
      <w:bookmarkEnd w:id="192"/>
      <w:bookmarkEnd w:id="193"/>
    </w:p>
    <w:p>
      <w:pPr>
        <w:pStyle w:val="4"/>
        <w:rPr>
          <w:rFonts w:ascii="仿宋" w:hAnsi="仿宋" w:eastAsia="仿宋"/>
          <w:color w:val="000000"/>
        </w:rPr>
      </w:pPr>
      <w:bookmarkStart w:id="194" w:name="_Toc114045530_WPSOffice_Level2"/>
      <w:bookmarkStart w:id="195" w:name="_Toc15396627"/>
      <w:r>
        <w:rPr>
          <w:rStyle w:val="26"/>
          <w:rFonts w:hint="eastAsia" w:ascii="仿宋" w:hAnsi="仿宋" w:eastAsia="仿宋"/>
          <w:b w:val="0"/>
          <w:bCs w:val="0"/>
        </w:rPr>
        <w:t>九、</w:t>
      </w:r>
      <w:r>
        <w:rPr>
          <w:rFonts w:hint="eastAsia" w:ascii="仿宋" w:hAnsi="仿宋" w:eastAsia="仿宋"/>
          <w:b w:val="0"/>
          <w:color w:val="000000"/>
        </w:rPr>
        <w:t>一</w:t>
      </w:r>
      <w:r>
        <w:rPr>
          <w:rStyle w:val="26"/>
          <w:rFonts w:hint="eastAsia" w:ascii="仿宋" w:hAnsi="仿宋" w:eastAsia="仿宋"/>
          <w:b w:val="0"/>
          <w:bCs w:val="0"/>
        </w:rPr>
        <w:t>般公共预算财政拨款项目支出决算表</w:t>
      </w:r>
      <w:bookmarkEnd w:id="194"/>
      <w:bookmarkEnd w:id="195"/>
    </w:p>
    <w:p>
      <w:pPr>
        <w:pStyle w:val="4"/>
        <w:rPr>
          <w:rFonts w:ascii="仿宋" w:hAnsi="仿宋" w:eastAsia="仿宋"/>
          <w:color w:val="000000"/>
        </w:rPr>
      </w:pPr>
      <w:bookmarkStart w:id="196" w:name="_Toc1311419190_WPSOffice_Level2"/>
      <w:bookmarkStart w:id="197" w:name="_Toc15396628"/>
      <w:r>
        <w:rPr>
          <w:rStyle w:val="26"/>
          <w:rFonts w:hint="eastAsia" w:ascii="仿宋" w:hAnsi="仿宋" w:eastAsia="仿宋"/>
          <w:b w:val="0"/>
          <w:bCs w:val="0"/>
        </w:rPr>
        <w:t>十、</w:t>
      </w:r>
      <w:r>
        <w:rPr>
          <w:rFonts w:hint="eastAsia" w:ascii="仿宋" w:hAnsi="仿宋" w:eastAsia="仿宋"/>
          <w:b w:val="0"/>
          <w:color w:val="000000"/>
        </w:rPr>
        <w:t>一</w:t>
      </w:r>
      <w:r>
        <w:rPr>
          <w:rStyle w:val="26"/>
          <w:rFonts w:hint="eastAsia" w:ascii="仿宋" w:hAnsi="仿宋" w:eastAsia="仿宋"/>
          <w:b w:val="0"/>
          <w:bCs w:val="0"/>
        </w:rPr>
        <w:t>般公共预算财政拨款“三公”经费支出决算表</w:t>
      </w:r>
      <w:bookmarkEnd w:id="196"/>
      <w:bookmarkEnd w:id="197"/>
    </w:p>
    <w:p>
      <w:pPr>
        <w:pStyle w:val="4"/>
        <w:rPr>
          <w:rFonts w:ascii="仿宋" w:hAnsi="仿宋" w:eastAsia="仿宋"/>
          <w:color w:val="000000"/>
        </w:rPr>
      </w:pPr>
      <w:bookmarkStart w:id="198" w:name="_Toc2137925154_WPSOffice_Level2"/>
      <w:bookmarkStart w:id="199" w:name="_Toc15396629"/>
      <w:r>
        <w:rPr>
          <w:rStyle w:val="26"/>
          <w:rFonts w:hint="eastAsia" w:ascii="仿宋" w:hAnsi="仿宋" w:eastAsia="仿宋"/>
          <w:b w:val="0"/>
          <w:bCs w:val="0"/>
        </w:rPr>
        <w:t>十一、</w:t>
      </w:r>
      <w:r>
        <w:rPr>
          <w:rFonts w:hint="eastAsia" w:ascii="仿宋" w:hAnsi="仿宋" w:eastAsia="仿宋"/>
          <w:b w:val="0"/>
          <w:color w:val="000000"/>
        </w:rPr>
        <w:t>政</w:t>
      </w:r>
      <w:r>
        <w:rPr>
          <w:rStyle w:val="26"/>
          <w:rFonts w:hint="eastAsia" w:ascii="仿宋" w:hAnsi="仿宋" w:eastAsia="仿宋"/>
          <w:b w:val="0"/>
          <w:bCs w:val="0"/>
        </w:rPr>
        <w:t>府性基金预算财政拨款收入支出决算表</w:t>
      </w:r>
      <w:bookmarkEnd w:id="198"/>
      <w:bookmarkEnd w:id="199"/>
    </w:p>
    <w:p>
      <w:pPr>
        <w:pStyle w:val="4"/>
        <w:rPr>
          <w:rFonts w:ascii="仿宋" w:hAnsi="仿宋" w:eastAsia="仿宋"/>
          <w:color w:val="000000"/>
        </w:rPr>
      </w:pPr>
      <w:bookmarkStart w:id="200" w:name="_Toc694410897_WPSOffice_Level2"/>
      <w:bookmarkStart w:id="201" w:name="_Toc15396630"/>
      <w:r>
        <w:rPr>
          <w:rStyle w:val="26"/>
          <w:rFonts w:hint="eastAsia" w:ascii="仿宋" w:hAnsi="仿宋" w:eastAsia="仿宋"/>
          <w:b w:val="0"/>
          <w:bCs w:val="0"/>
        </w:rPr>
        <w:t>十二、</w:t>
      </w:r>
      <w:r>
        <w:rPr>
          <w:rFonts w:hint="eastAsia" w:ascii="仿宋" w:hAnsi="仿宋" w:eastAsia="仿宋"/>
          <w:b w:val="0"/>
          <w:color w:val="000000"/>
        </w:rPr>
        <w:t>政</w:t>
      </w:r>
      <w:r>
        <w:rPr>
          <w:rStyle w:val="26"/>
          <w:rFonts w:hint="eastAsia" w:ascii="仿宋" w:hAnsi="仿宋" w:eastAsia="仿宋"/>
          <w:b w:val="0"/>
          <w:bCs w:val="0"/>
        </w:rPr>
        <w:t>府性基金预算财政拨款“三公”经费支出决算表</w:t>
      </w:r>
      <w:bookmarkEnd w:id="200"/>
      <w:bookmarkEnd w:id="201"/>
    </w:p>
    <w:p>
      <w:pPr>
        <w:pStyle w:val="4"/>
        <w:rPr>
          <w:rStyle w:val="26"/>
          <w:rFonts w:ascii="仿宋" w:hAnsi="仿宋" w:eastAsia="仿宋"/>
          <w:b w:val="0"/>
          <w:bCs w:val="0"/>
        </w:rPr>
      </w:pPr>
      <w:bookmarkStart w:id="202" w:name="_Toc1732285988_WPSOffice_Level2"/>
      <w:bookmarkStart w:id="203" w:name="_Toc15396631"/>
      <w:r>
        <w:rPr>
          <w:rStyle w:val="26"/>
          <w:rFonts w:hint="eastAsia" w:ascii="仿宋" w:hAnsi="仿宋" w:eastAsia="仿宋"/>
          <w:b w:val="0"/>
          <w:bCs w:val="0"/>
        </w:rPr>
        <w:t>十三、</w:t>
      </w:r>
      <w:r>
        <w:rPr>
          <w:rFonts w:hint="eastAsia" w:ascii="仿宋" w:hAnsi="仿宋" w:eastAsia="仿宋"/>
          <w:b w:val="0"/>
          <w:color w:val="000000"/>
        </w:rPr>
        <w:t>国有资本经营预算财政拨款收入支出决算表</w:t>
      </w:r>
      <w:bookmarkEnd w:id="202"/>
    </w:p>
    <w:p>
      <w:pPr>
        <w:pStyle w:val="4"/>
        <w:rPr>
          <w:rFonts w:ascii="仿宋" w:hAnsi="仿宋" w:eastAsia="仿宋"/>
          <w:color w:val="000000" w:themeColor="text1"/>
          <w14:textFill>
            <w14:solidFill>
              <w14:schemeClr w14:val="tx1"/>
            </w14:solidFill>
          </w14:textFill>
        </w:rPr>
      </w:pPr>
      <w:bookmarkStart w:id="204" w:name="_Toc178086293_WPSOffice_Level2"/>
      <w:r>
        <w:rPr>
          <w:rFonts w:hint="eastAsia" w:ascii="仿宋" w:hAnsi="仿宋" w:eastAsia="仿宋"/>
          <w:b w:val="0"/>
          <w:color w:val="000000"/>
        </w:rPr>
        <w:t>十四、国</w:t>
      </w:r>
      <w:r>
        <w:rPr>
          <w:rStyle w:val="26"/>
          <w:rFonts w:hint="eastAsia" w:ascii="仿宋" w:hAnsi="仿宋" w:eastAsia="仿宋"/>
          <w:b w:val="0"/>
          <w:bCs w:val="0"/>
        </w:rPr>
        <w:t>有资本经营预算财政拨款支出决算表</w:t>
      </w:r>
      <w:bookmarkEnd w:id="203"/>
      <w:bookmarkEnd w:id="204"/>
    </w:p>
    <w:sectPr>
      <w:headerReference r:id="rId3" w:type="default"/>
      <w:footerReference r:id="rId4" w:type="default"/>
      <w:pgSz w:w="11906" w:h="16838"/>
      <w:pgMar w:top="1440" w:right="1800" w:bottom="1440" w:left="1800" w:header="851" w:footer="992" w:gutter="0"/>
      <w:pgNumType w:start="1"/>
      <w:cols w:space="425" w:num="1"/>
      <w:titlePg/>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0000000000000000000"/>
    <w:charset w:val="86"/>
    <w:family w:val="auto"/>
    <w:pitch w:val="default"/>
    <w:sig w:usb0="00000000" w:usb1="00000000" w:usb2="00000000" w:usb3="00000000" w:csb0="00000000" w:csb1="00000000"/>
  </w:font>
  <w:font w:name="Wingdings">
    <w:altName w:val="方正宋体S-超大字符集(SIP)"/>
    <w:panose1 w:val="05000000000000000000"/>
    <w:charset w:val="02"/>
    <w:family w:val="auto"/>
    <w:pitch w:val="default"/>
    <w:sig w:usb0="00000000" w:usb1="00000000" w:usb2="00000000" w:usb3="00000000" w:csb0="80000000" w:csb1="00000000"/>
  </w:font>
  <w:font w:name="Arial">
    <w:altName w:val="Times New Roman"/>
    <w:panose1 w:val="020B0604020202020204"/>
    <w:charset w:val="01"/>
    <w:family w:val="swiss"/>
    <w:pitch w:val="default"/>
    <w:sig w:usb0="E0002AFF" w:usb1="C0007843" w:usb2="00000009" w:usb3="00000000" w:csb0="400001FF" w:csb1="FFFF0000"/>
  </w:font>
  <w:font w:name="黑体">
    <w:altName w:val="方正黑体_GBK"/>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altName w:val="方正宋体S-超大字符集(SIP)"/>
    <w:panose1 w:val="05050102010706020507"/>
    <w:charset w:val="02"/>
    <w:family w:val="roman"/>
    <w:pitch w:val="default"/>
    <w:sig w:usb0="00000000" w:usb1="00000000" w:usb2="00000000" w:usb3="00000000" w:csb0="80000000" w:csb1="00000000"/>
  </w:font>
  <w:font w:name="Calibri">
    <w:altName w:val="DejaVu Sans"/>
    <w:panose1 w:val="020F0502020204030204"/>
    <w:charset w:val="00"/>
    <w:family w:val="swiss"/>
    <w:pitch w:val="default"/>
    <w:sig w:usb0="00000000" w:usb1="00000000" w:usb2="00000001" w:usb3="00000000" w:csb0="0000019F" w:csb1="00000000"/>
  </w:font>
  <w:font w:name="Cambria">
    <w:altName w:val="FreeSerif"/>
    <w:panose1 w:val="02040503050406030204"/>
    <w:charset w:val="00"/>
    <w:family w:val="roman"/>
    <w:pitch w:val="default"/>
    <w:sig w:usb0="00000000" w:usb1="00000000" w:usb2="02000000" w:usb3="00000000" w:csb0="2000019F" w:csb1="00000000"/>
  </w:font>
  <w:font w:name="仿宋">
    <w:altName w:val="方正仿宋_GBK"/>
    <w:panose1 w:val="02010609060101010101"/>
    <w:charset w:val="86"/>
    <w:family w:val="modern"/>
    <w:pitch w:val="default"/>
    <w:sig w:usb0="00000000" w:usb1="00000000" w:usb2="00000016" w:usb3="00000000" w:csb0="00040001" w:csb1="00000000"/>
  </w:font>
  <w:font w:name="仿宋_GB2312">
    <w:altName w:val="方正仿宋_GBK"/>
    <w:panose1 w:val="02010609030101010101"/>
    <w:charset w:val="86"/>
    <w:family w:val="modern"/>
    <w:pitch w:val="default"/>
    <w:sig w:usb0="00000000" w:usb1="00000000" w:usb2="00000000" w:usb3="00000000" w:csb0="00040000" w:csb1="00000000"/>
  </w:font>
  <w:font w:name="方正小标宋简体">
    <w:panose1 w:val="02000000000000000000"/>
    <w:charset w:val="86"/>
    <w:family w:val="script"/>
    <w:pitch w:val="default"/>
    <w:sig w:usb0="A00002BF" w:usb1="184F6CFA" w:usb2="00000012" w:usb3="00000000" w:csb0="00040001" w:csb1="00000000"/>
  </w:font>
  <w:font w:name="方正小标宋_GBK">
    <w:panose1 w:val="03000509000000000000"/>
    <w:charset w:val="86"/>
    <w:family w:val="script"/>
    <w:pitch w:val="default"/>
    <w:sig w:usb0="00000001" w:usb1="080E0000" w:usb2="00000000" w:usb3="00000000" w:csb0="00040000" w:csb1="00000000"/>
  </w:font>
  <w:font w:name="方正黑体_GBK">
    <w:panose1 w:val="03000509000000000000"/>
    <w:charset w:val="86"/>
    <w:family w:val="auto"/>
    <w:pitch w:val="default"/>
    <w:sig w:usb0="00000001" w:usb1="080E0000" w:usb2="00000000" w:usb3="00000000" w:csb0="00040000" w:csb1="00000000"/>
  </w:font>
  <w:font w:name="方正楷体_GBK">
    <w:panose1 w:val="03000509000000000000"/>
    <w:charset w:val="86"/>
    <w:family w:val="auto"/>
    <w:pitch w:val="default"/>
    <w:sig w:usb0="00000001" w:usb1="080E0000" w:usb2="00000000" w:usb3="00000000" w:csb0="00040000" w:csb1="00000000"/>
  </w:font>
  <w:font w:name="方正仿宋_GBK">
    <w:panose1 w:val="03000509000000000000"/>
    <w:charset w:val="86"/>
    <w:family w:val="script"/>
    <w:pitch w:val="default"/>
    <w:sig w:usb0="00000001" w:usb1="080E0000" w:usb2="00000000" w:usb3="00000000" w:csb0="00040000" w:csb1="00000000"/>
  </w:font>
  <w:font w:name="楷体_GB2312">
    <w:altName w:val="方正楷体_GBK"/>
    <w:panose1 w:val="02010609030101010101"/>
    <w:charset w:val="86"/>
    <w:family w:val="auto"/>
    <w:pitch w:val="default"/>
    <w:sig w:usb0="00000000" w:usb1="00000000" w:usb2="00000000" w:usb3="00000000" w:csb0="00040000" w:csb1="00000000"/>
  </w:font>
  <w:font w:name="方正书宋_GBK">
    <w:panose1 w:val="02000000000000000000"/>
    <w:charset w:val="86"/>
    <w:family w:val="auto"/>
    <w:pitch w:val="default"/>
    <w:sig w:usb0="00000001" w:usb1="08000000" w:usb2="00000000" w:usb3="00000000" w:csb0="00040000" w:csb1="00000000"/>
  </w:font>
  <w:font w:name="DejaVu Sans">
    <w:panose1 w:val="020B0603030804020204"/>
    <w:charset w:val="00"/>
    <w:family w:val="auto"/>
    <w:pitch w:val="default"/>
    <w:sig w:usb0="E7006EFF" w:usb1="D200FDFF" w:usb2="0A246029" w:usb3="0400200C" w:csb0="600001FF" w:csb1="DFFF0000"/>
  </w:font>
  <w:font w:name="Liberation Serif">
    <w:panose1 w:val="02020603050405020304"/>
    <w:charset w:val="00"/>
    <w:family w:val="auto"/>
    <w:pitch w:val="default"/>
    <w:sig w:usb0="A00002AF" w:usb1="500078FB" w:usb2="00000000" w:usb3="00000000" w:csb0="6000009F" w:csb1="DFD70000"/>
  </w:font>
  <w:font w:name="FreeSerif">
    <w:panose1 w:val="02020603050405020304"/>
    <w:charset w:val="00"/>
    <w:family w:val="auto"/>
    <w:pitch w:val="default"/>
    <w:sig w:usb0="E59FAFFF" w:usb1="C200FDFF" w:usb2="43501B29" w:usb3="04000043" w:csb0="600101FF" w:csb1="FFFF0000"/>
  </w:font>
  <w:font w:name="仿宋_GB2312">
    <w:altName w:val="方正仿宋_GBK"/>
    <w:panose1 w:val="02010609030101010101"/>
    <w:charset w:val="00"/>
    <w:family w:val="modern"/>
    <w:pitch w:val="default"/>
    <w:sig w:usb0="00000000" w:usb1="00000000" w:usb2="00000010" w:usb3="00000000" w:csb0="00040000" w:csb1="00000000"/>
  </w:font>
  <w:font w:name="方正宋体S-超大字符集(SIP)">
    <w:panose1 w:val="03000509000000000000"/>
    <w:charset w:val="86"/>
    <w:family w:val="auto"/>
    <w:pitch w:val="default"/>
    <w:sig w:usb0="00000003" w:usb1="0A0E0800" w:usb2="0000000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994781956"/>
    </w:sdtPr>
    <w:sdtContent>
      <w:p>
        <w:pPr>
          <w:pStyle w:val="9"/>
          <w:jc w:val="center"/>
        </w:pPr>
        <w:r>
          <w:fldChar w:fldCharType="begin"/>
        </w:r>
        <w:r>
          <w:instrText xml:space="preserve">PAGE   \* MERGEFORMAT</w:instrText>
        </w:r>
        <w:r>
          <w:fldChar w:fldCharType="separate"/>
        </w:r>
        <w:r>
          <w:rPr>
            <w:lang w:val="zh-CN"/>
          </w:rPr>
          <w:t>2</w:t>
        </w:r>
        <w:r>
          <w:fldChar w:fldCharType="end"/>
        </w:r>
      </w:p>
    </w:sdtContent>
  </w:sdt>
  <w:p>
    <w:pPr>
      <w:pStyle w:val="9"/>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214F70C"/>
    <w:multiLevelType w:val="singleLevel"/>
    <w:tmpl w:val="9214F70C"/>
    <w:lvl w:ilvl="0" w:tentative="0">
      <w:start w:val="7"/>
      <w:numFmt w:val="chineseCounting"/>
      <w:suff w:val="nothing"/>
      <w:lvlText w:val="%1、"/>
      <w:lvlJc w:val="left"/>
      <w:rPr>
        <w:rFonts w:hint="eastAsia"/>
      </w:rPr>
    </w:lvl>
  </w:abstractNum>
  <w:abstractNum w:abstractNumId="1">
    <w:nsid w:val="BEAD9D6D"/>
    <w:multiLevelType w:val="singleLevel"/>
    <w:tmpl w:val="BEAD9D6D"/>
    <w:lvl w:ilvl="0" w:tentative="0">
      <w:start w:val="2"/>
      <w:numFmt w:val="chineseCounting"/>
      <w:suff w:val="nothing"/>
      <w:lvlText w:val="（%1）"/>
      <w:lvlJc w:val="left"/>
      <w:rPr>
        <w:rFonts w:hint="eastAsia"/>
      </w:rPr>
    </w:lvl>
  </w:abstractNum>
  <w:abstractNum w:abstractNumId="2">
    <w:nsid w:val="E2FA047D"/>
    <w:multiLevelType w:val="singleLevel"/>
    <w:tmpl w:val="E2FA047D"/>
    <w:lvl w:ilvl="0" w:tentative="0">
      <w:start w:val="3"/>
      <w:numFmt w:val="chineseCounting"/>
      <w:suff w:val="space"/>
      <w:lvlText w:val="第%1部分"/>
      <w:lvlJc w:val="left"/>
      <w:rPr>
        <w:rFonts w:hint="eastAsia"/>
      </w:rPr>
    </w:lvl>
  </w:abstractNum>
  <w:abstractNum w:abstractNumId="3">
    <w:nsid w:val="FEDDA66A"/>
    <w:multiLevelType w:val="singleLevel"/>
    <w:tmpl w:val="FEDDA66A"/>
    <w:lvl w:ilvl="0" w:tentative="0">
      <w:start w:val="2"/>
      <w:numFmt w:val="chineseCounting"/>
      <w:suff w:val="nothing"/>
      <w:lvlText w:val="（%1）"/>
      <w:lvlJc w:val="left"/>
      <w:rPr>
        <w:rFonts w:hint="eastAsia"/>
      </w:rPr>
    </w:lvl>
  </w:abstractNum>
  <w:abstractNum w:abstractNumId="4">
    <w:nsid w:val="1272550B"/>
    <w:multiLevelType w:val="multilevel"/>
    <w:tmpl w:val="1272550B"/>
    <w:lvl w:ilvl="0" w:tentative="0">
      <w:start w:val="1"/>
      <w:numFmt w:val="japaneseCounting"/>
      <w:lvlText w:val="%1、"/>
      <w:lvlJc w:val="left"/>
      <w:pPr>
        <w:ind w:left="1360" w:hanging="720"/>
      </w:pPr>
      <w:rPr>
        <w:rFonts w:hint="default"/>
        <w:b w:val="0"/>
      </w:rPr>
    </w:lvl>
    <w:lvl w:ilvl="1" w:tentative="0">
      <w:start w:val="1"/>
      <w:numFmt w:val="lowerLetter"/>
      <w:lvlText w:val="%2)"/>
      <w:lvlJc w:val="left"/>
      <w:pPr>
        <w:ind w:left="1480" w:hanging="420"/>
      </w:pPr>
    </w:lvl>
    <w:lvl w:ilvl="2" w:tentative="0">
      <w:start w:val="1"/>
      <w:numFmt w:val="lowerRoman"/>
      <w:lvlText w:val="%3."/>
      <w:lvlJc w:val="right"/>
      <w:pPr>
        <w:ind w:left="1900" w:hanging="420"/>
      </w:pPr>
    </w:lvl>
    <w:lvl w:ilvl="3" w:tentative="0">
      <w:start w:val="1"/>
      <w:numFmt w:val="decimal"/>
      <w:lvlText w:val="%4."/>
      <w:lvlJc w:val="left"/>
      <w:pPr>
        <w:ind w:left="2320" w:hanging="420"/>
      </w:pPr>
    </w:lvl>
    <w:lvl w:ilvl="4" w:tentative="0">
      <w:start w:val="1"/>
      <w:numFmt w:val="lowerLetter"/>
      <w:lvlText w:val="%5)"/>
      <w:lvlJc w:val="left"/>
      <w:pPr>
        <w:ind w:left="2740" w:hanging="420"/>
      </w:pPr>
    </w:lvl>
    <w:lvl w:ilvl="5" w:tentative="0">
      <w:start w:val="1"/>
      <w:numFmt w:val="lowerRoman"/>
      <w:lvlText w:val="%6."/>
      <w:lvlJc w:val="right"/>
      <w:pPr>
        <w:ind w:left="3160" w:hanging="420"/>
      </w:pPr>
    </w:lvl>
    <w:lvl w:ilvl="6" w:tentative="0">
      <w:start w:val="1"/>
      <w:numFmt w:val="decimal"/>
      <w:lvlText w:val="%7."/>
      <w:lvlJc w:val="left"/>
      <w:pPr>
        <w:ind w:left="3580" w:hanging="420"/>
      </w:pPr>
    </w:lvl>
    <w:lvl w:ilvl="7" w:tentative="0">
      <w:start w:val="1"/>
      <w:numFmt w:val="lowerLetter"/>
      <w:lvlText w:val="%8)"/>
      <w:lvlJc w:val="left"/>
      <w:pPr>
        <w:ind w:left="4000" w:hanging="420"/>
      </w:pPr>
    </w:lvl>
    <w:lvl w:ilvl="8" w:tentative="0">
      <w:start w:val="1"/>
      <w:numFmt w:val="lowerRoman"/>
      <w:lvlText w:val="%9."/>
      <w:lvlJc w:val="right"/>
      <w:pPr>
        <w:ind w:left="4420" w:hanging="420"/>
      </w:pPr>
    </w:lvl>
  </w:abstractNum>
  <w:num w:numId="1">
    <w:abstractNumId w:val="4"/>
  </w:num>
  <w:num w:numId="2">
    <w:abstractNumId w:val="0"/>
  </w:num>
  <w:num w:numId="3">
    <w:abstractNumId w:val="2"/>
  </w:num>
  <w:num w:numId="4">
    <w:abstractNumId w:val="3"/>
  </w:num>
  <w:num w:numId="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NotDisplayPageBoundaries w:val="true"/>
  <w:bordersDoNotSurroundHeader w:val="true"/>
  <w:bordersDoNotSurroundFooter w:val="true"/>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DBjOTE0YzVjZjA2MjVjNzM1NDAwNTllZTI1OTNkYmEifQ=="/>
  </w:docVars>
  <w:rsids>
    <w:rsidRoot w:val="00F1361C"/>
    <w:rsid w:val="000222C6"/>
    <w:rsid w:val="0002549F"/>
    <w:rsid w:val="000468DB"/>
    <w:rsid w:val="00055A8A"/>
    <w:rsid w:val="0006487A"/>
    <w:rsid w:val="00065F8F"/>
    <w:rsid w:val="00070A43"/>
    <w:rsid w:val="0007547B"/>
    <w:rsid w:val="000768F2"/>
    <w:rsid w:val="0009184B"/>
    <w:rsid w:val="00094236"/>
    <w:rsid w:val="0009593C"/>
    <w:rsid w:val="00097322"/>
    <w:rsid w:val="000A6A92"/>
    <w:rsid w:val="000B047F"/>
    <w:rsid w:val="000B5923"/>
    <w:rsid w:val="000B5A48"/>
    <w:rsid w:val="000B6FF3"/>
    <w:rsid w:val="000C3467"/>
    <w:rsid w:val="000C3CA6"/>
    <w:rsid w:val="000D1267"/>
    <w:rsid w:val="000D1D50"/>
    <w:rsid w:val="000D5782"/>
    <w:rsid w:val="000E3D69"/>
    <w:rsid w:val="000E6613"/>
    <w:rsid w:val="000E7119"/>
    <w:rsid w:val="00114E9B"/>
    <w:rsid w:val="00142216"/>
    <w:rsid w:val="00144D6A"/>
    <w:rsid w:val="0014729F"/>
    <w:rsid w:val="00157BAB"/>
    <w:rsid w:val="001654D1"/>
    <w:rsid w:val="00174518"/>
    <w:rsid w:val="0018106D"/>
    <w:rsid w:val="001877A7"/>
    <w:rsid w:val="00191536"/>
    <w:rsid w:val="00196687"/>
    <w:rsid w:val="001C0962"/>
    <w:rsid w:val="001D7531"/>
    <w:rsid w:val="001E737D"/>
    <w:rsid w:val="001F0592"/>
    <w:rsid w:val="001F7506"/>
    <w:rsid w:val="002006CD"/>
    <w:rsid w:val="00202B36"/>
    <w:rsid w:val="00203980"/>
    <w:rsid w:val="00204B7A"/>
    <w:rsid w:val="00204CDE"/>
    <w:rsid w:val="0021101A"/>
    <w:rsid w:val="00220536"/>
    <w:rsid w:val="00235629"/>
    <w:rsid w:val="00260C38"/>
    <w:rsid w:val="002616C0"/>
    <w:rsid w:val="00265372"/>
    <w:rsid w:val="002662AA"/>
    <w:rsid w:val="00280496"/>
    <w:rsid w:val="00294DC9"/>
    <w:rsid w:val="00295495"/>
    <w:rsid w:val="002A31DE"/>
    <w:rsid w:val="002B2613"/>
    <w:rsid w:val="002D6D05"/>
    <w:rsid w:val="002F1818"/>
    <w:rsid w:val="002F567B"/>
    <w:rsid w:val="003216A9"/>
    <w:rsid w:val="00335A74"/>
    <w:rsid w:val="0036561B"/>
    <w:rsid w:val="0037013F"/>
    <w:rsid w:val="00377BF7"/>
    <w:rsid w:val="00380C92"/>
    <w:rsid w:val="003A484F"/>
    <w:rsid w:val="003A4883"/>
    <w:rsid w:val="003B0BE0"/>
    <w:rsid w:val="003B0C1B"/>
    <w:rsid w:val="003B39D8"/>
    <w:rsid w:val="003B688C"/>
    <w:rsid w:val="003C0291"/>
    <w:rsid w:val="003C39AE"/>
    <w:rsid w:val="003C7B60"/>
    <w:rsid w:val="003D0C0F"/>
    <w:rsid w:val="003D1FB2"/>
    <w:rsid w:val="003D66DA"/>
    <w:rsid w:val="003E1310"/>
    <w:rsid w:val="003E6F55"/>
    <w:rsid w:val="00406254"/>
    <w:rsid w:val="004223DE"/>
    <w:rsid w:val="00434489"/>
    <w:rsid w:val="00437085"/>
    <w:rsid w:val="00443880"/>
    <w:rsid w:val="004464F4"/>
    <w:rsid w:val="00471401"/>
    <w:rsid w:val="00473F31"/>
    <w:rsid w:val="0048263A"/>
    <w:rsid w:val="00487E5D"/>
    <w:rsid w:val="00492798"/>
    <w:rsid w:val="004A711F"/>
    <w:rsid w:val="004B199D"/>
    <w:rsid w:val="004B4690"/>
    <w:rsid w:val="004E0A2D"/>
    <w:rsid w:val="004E206B"/>
    <w:rsid w:val="004E6DF7"/>
    <w:rsid w:val="004F0FBD"/>
    <w:rsid w:val="00505A47"/>
    <w:rsid w:val="00512FDA"/>
    <w:rsid w:val="00520DA0"/>
    <w:rsid w:val="005602B0"/>
    <w:rsid w:val="005664BB"/>
    <w:rsid w:val="00566FFA"/>
    <w:rsid w:val="0057481D"/>
    <w:rsid w:val="0058486E"/>
    <w:rsid w:val="00585B33"/>
    <w:rsid w:val="005863E1"/>
    <w:rsid w:val="0059014D"/>
    <w:rsid w:val="005A304C"/>
    <w:rsid w:val="005B5C64"/>
    <w:rsid w:val="005C5337"/>
    <w:rsid w:val="005C6BD0"/>
    <w:rsid w:val="005D1C8B"/>
    <w:rsid w:val="005D468D"/>
    <w:rsid w:val="005D5CED"/>
    <w:rsid w:val="005F1A4C"/>
    <w:rsid w:val="00605688"/>
    <w:rsid w:val="006070AF"/>
    <w:rsid w:val="00607E6C"/>
    <w:rsid w:val="006101B1"/>
    <w:rsid w:val="00614E44"/>
    <w:rsid w:val="0062270A"/>
    <w:rsid w:val="00622830"/>
    <w:rsid w:val="00623DA0"/>
    <w:rsid w:val="00630AEF"/>
    <w:rsid w:val="006325F8"/>
    <w:rsid w:val="00633463"/>
    <w:rsid w:val="00634C9A"/>
    <w:rsid w:val="006440E4"/>
    <w:rsid w:val="0066343B"/>
    <w:rsid w:val="00664777"/>
    <w:rsid w:val="006748A4"/>
    <w:rsid w:val="00681A31"/>
    <w:rsid w:val="00683E73"/>
    <w:rsid w:val="006A3141"/>
    <w:rsid w:val="006A5E34"/>
    <w:rsid w:val="006B2422"/>
    <w:rsid w:val="006B2B9A"/>
    <w:rsid w:val="006C1937"/>
    <w:rsid w:val="006F020C"/>
    <w:rsid w:val="007127B7"/>
    <w:rsid w:val="0071798E"/>
    <w:rsid w:val="007416B6"/>
    <w:rsid w:val="00746F48"/>
    <w:rsid w:val="0075404D"/>
    <w:rsid w:val="0076182A"/>
    <w:rsid w:val="00767B7E"/>
    <w:rsid w:val="007770C3"/>
    <w:rsid w:val="00784D24"/>
    <w:rsid w:val="00785FBA"/>
    <w:rsid w:val="00786E4A"/>
    <w:rsid w:val="007875EB"/>
    <w:rsid w:val="0079426B"/>
    <w:rsid w:val="007A7F8A"/>
    <w:rsid w:val="007D1682"/>
    <w:rsid w:val="007D312A"/>
    <w:rsid w:val="007D3F19"/>
    <w:rsid w:val="007E23B0"/>
    <w:rsid w:val="007E23E5"/>
    <w:rsid w:val="007F1991"/>
    <w:rsid w:val="007F2C2F"/>
    <w:rsid w:val="007F55FC"/>
    <w:rsid w:val="007F5665"/>
    <w:rsid w:val="00800112"/>
    <w:rsid w:val="00813348"/>
    <w:rsid w:val="008253BB"/>
    <w:rsid w:val="0083706E"/>
    <w:rsid w:val="008408F6"/>
    <w:rsid w:val="008423A5"/>
    <w:rsid w:val="00850625"/>
    <w:rsid w:val="00853718"/>
    <w:rsid w:val="00855221"/>
    <w:rsid w:val="00860645"/>
    <w:rsid w:val="008669DF"/>
    <w:rsid w:val="00871F71"/>
    <w:rsid w:val="00872FD8"/>
    <w:rsid w:val="00885AF4"/>
    <w:rsid w:val="008939CD"/>
    <w:rsid w:val="008B768C"/>
    <w:rsid w:val="008C4DB1"/>
    <w:rsid w:val="008C4EAF"/>
    <w:rsid w:val="008C5176"/>
    <w:rsid w:val="008C7FD0"/>
    <w:rsid w:val="008E1DE7"/>
    <w:rsid w:val="008E707C"/>
    <w:rsid w:val="008F43BF"/>
    <w:rsid w:val="00900B08"/>
    <w:rsid w:val="00902155"/>
    <w:rsid w:val="00902FA3"/>
    <w:rsid w:val="00923564"/>
    <w:rsid w:val="0092392E"/>
    <w:rsid w:val="009315F9"/>
    <w:rsid w:val="00933499"/>
    <w:rsid w:val="00935C98"/>
    <w:rsid w:val="00946945"/>
    <w:rsid w:val="00951248"/>
    <w:rsid w:val="0095152F"/>
    <w:rsid w:val="00954C49"/>
    <w:rsid w:val="00955E37"/>
    <w:rsid w:val="0097099F"/>
    <w:rsid w:val="00971997"/>
    <w:rsid w:val="00971FFC"/>
    <w:rsid w:val="0098660A"/>
    <w:rsid w:val="009931C3"/>
    <w:rsid w:val="009B2C43"/>
    <w:rsid w:val="009B4EAE"/>
    <w:rsid w:val="009B7573"/>
    <w:rsid w:val="009C22F4"/>
    <w:rsid w:val="009C2A4B"/>
    <w:rsid w:val="009C2E98"/>
    <w:rsid w:val="009D3447"/>
    <w:rsid w:val="009D4711"/>
    <w:rsid w:val="009F1185"/>
    <w:rsid w:val="009F18CD"/>
    <w:rsid w:val="009F2A13"/>
    <w:rsid w:val="009F7527"/>
    <w:rsid w:val="00A04EB0"/>
    <w:rsid w:val="00A13CC1"/>
    <w:rsid w:val="00A16847"/>
    <w:rsid w:val="00A237D8"/>
    <w:rsid w:val="00A268C4"/>
    <w:rsid w:val="00A307CD"/>
    <w:rsid w:val="00A331C8"/>
    <w:rsid w:val="00A40A00"/>
    <w:rsid w:val="00A4142F"/>
    <w:rsid w:val="00A422EB"/>
    <w:rsid w:val="00A45BB7"/>
    <w:rsid w:val="00A56DF2"/>
    <w:rsid w:val="00A56E6E"/>
    <w:rsid w:val="00A67AB5"/>
    <w:rsid w:val="00A733B2"/>
    <w:rsid w:val="00A741C2"/>
    <w:rsid w:val="00A91760"/>
    <w:rsid w:val="00A93B00"/>
    <w:rsid w:val="00A93C21"/>
    <w:rsid w:val="00AB64C9"/>
    <w:rsid w:val="00AC3C6A"/>
    <w:rsid w:val="00AD5620"/>
    <w:rsid w:val="00AD656B"/>
    <w:rsid w:val="00AD7C1B"/>
    <w:rsid w:val="00AE13B3"/>
    <w:rsid w:val="00AE16BA"/>
    <w:rsid w:val="00AE1EBE"/>
    <w:rsid w:val="00B03C9D"/>
    <w:rsid w:val="00B060AE"/>
    <w:rsid w:val="00B10517"/>
    <w:rsid w:val="00B14E76"/>
    <w:rsid w:val="00B161B8"/>
    <w:rsid w:val="00B2048C"/>
    <w:rsid w:val="00B310B9"/>
    <w:rsid w:val="00B35F3F"/>
    <w:rsid w:val="00B36CBB"/>
    <w:rsid w:val="00B425E0"/>
    <w:rsid w:val="00B440AA"/>
    <w:rsid w:val="00B44B70"/>
    <w:rsid w:val="00B53C56"/>
    <w:rsid w:val="00B57DAF"/>
    <w:rsid w:val="00B77EA6"/>
    <w:rsid w:val="00B81598"/>
    <w:rsid w:val="00B841F1"/>
    <w:rsid w:val="00B944D6"/>
    <w:rsid w:val="00BB4DF0"/>
    <w:rsid w:val="00BC289F"/>
    <w:rsid w:val="00BC2D50"/>
    <w:rsid w:val="00BC5361"/>
    <w:rsid w:val="00BC5460"/>
    <w:rsid w:val="00BC6B50"/>
    <w:rsid w:val="00BD0E25"/>
    <w:rsid w:val="00BF5BD6"/>
    <w:rsid w:val="00C03E31"/>
    <w:rsid w:val="00C33E72"/>
    <w:rsid w:val="00C354B2"/>
    <w:rsid w:val="00C35554"/>
    <w:rsid w:val="00C42709"/>
    <w:rsid w:val="00C533CC"/>
    <w:rsid w:val="00C5751C"/>
    <w:rsid w:val="00C61BFC"/>
    <w:rsid w:val="00C62B85"/>
    <w:rsid w:val="00C65438"/>
    <w:rsid w:val="00C87FD8"/>
    <w:rsid w:val="00C91381"/>
    <w:rsid w:val="00C91CBB"/>
    <w:rsid w:val="00CB4E70"/>
    <w:rsid w:val="00CC09B6"/>
    <w:rsid w:val="00CC666F"/>
    <w:rsid w:val="00CD1E3F"/>
    <w:rsid w:val="00CE44F6"/>
    <w:rsid w:val="00CE49DA"/>
    <w:rsid w:val="00CE7B61"/>
    <w:rsid w:val="00D00095"/>
    <w:rsid w:val="00D114F0"/>
    <w:rsid w:val="00D20620"/>
    <w:rsid w:val="00D21D89"/>
    <w:rsid w:val="00D254F7"/>
    <w:rsid w:val="00D26091"/>
    <w:rsid w:val="00D2685C"/>
    <w:rsid w:val="00D34E7C"/>
    <w:rsid w:val="00D35489"/>
    <w:rsid w:val="00D36AFE"/>
    <w:rsid w:val="00D51276"/>
    <w:rsid w:val="00D7035F"/>
    <w:rsid w:val="00DA634F"/>
    <w:rsid w:val="00DA65AC"/>
    <w:rsid w:val="00DB1913"/>
    <w:rsid w:val="00DC410D"/>
    <w:rsid w:val="00DC5A81"/>
    <w:rsid w:val="00DC68CA"/>
    <w:rsid w:val="00DC7CBA"/>
    <w:rsid w:val="00DD73B7"/>
    <w:rsid w:val="00DF28BC"/>
    <w:rsid w:val="00DF34B9"/>
    <w:rsid w:val="00E01053"/>
    <w:rsid w:val="00E07ACF"/>
    <w:rsid w:val="00E331A1"/>
    <w:rsid w:val="00E33202"/>
    <w:rsid w:val="00E336A9"/>
    <w:rsid w:val="00E472B1"/>
    <w:rsid w:val="00E50624"/>
    <w:rsid w:val="00E568DF"/>
    <w:rsid w:val="00E64269"/>
    <w:rsid w:val="00E82267"/>
    <w:rsid w:val="00E853CE"/>
    <w:rsid w:val="00E867B6"/>
    <w:rsid w:val="00EA010F"/>
    <w:rsid w:val="00ED1B63"/>
    <w:rsid w:val="00ED3C1F"/>
    <w:rsid w:val="00ED4085"/>
    <w:rsid w:val="00ED420E"/>
    <w:rsid w:val="00ED6FBE"/>
    <w:rsid w:val="00EE2F57"/>
    <w:rsid w:val="00EF4C34"/>
    <w:rsid w:val="00EF77C6"/>
    <w:rsid w:val="00F05438"/>
    <w:rsid w:val="00F1361C"/>
    <w:rsid w:val="00F156F0"/>
    <w:rsid w:val="00F160C7"/>
    <w:rsid w:val="00F2408F"/>
    <w:rsid w:val="00F240E9"/>
    <w:rsid w:val="00F36D8F"/>
    <w:rsid w:val="00F417B1"/>
    <w:rsid w:val="00F45853"/>
    <w:rsid w:val="00F602DF"/>
    <w:rsid w:val="00F754A1"/>
    <w:rsid w:val="00F81FD9"/>
    <w:rsid w:val="00F841AA"/>
    <w:rsid w:val="00F84A94"/>
    <w:rsid w:val="00F87E96"/>
    <w:rsid w:val="00FA23E8"/>
    <w:rsid w:val="00FD3CC1"/>
    <w:rsid w:val="00FD7009"/>
    <w:rsid w:val="00FF1E02"/>
    <w:rsid w:val="00FF30B4"/>
    <w:rsid w:val="033D532E"/>
    <w:rsid w:val="0669648E"/>
    <w:rsid w:val="06B801E1"/>
    <w:rsid w:val="09B3669D"/>
    <w:rsid w:val="0A2032A3"/>
    <w:rsid w:val="0ACB72E5"/>
    <w:rsid w:val="0BD1285F"/>
    <w:rsid w:val="0DE21480"/>
    <w:rsid w:val="10C055FF"/>
    <w:rsid w:val="118107EC"/>
    <w:rsid w:val="16BB723D"/>
    <w:rsid w:val="1793097A"/>
    <w:rsid w:val="18534BA8"/>
    <w:rsid w:val="19375FF7"/>
    <w:rsid w:val="1D155CEE"/>
    <w:rsid w:val="1DC54782"/>
    <w:rsid w:val="1E8B5456"/>
    <w:rsid w:val="240371BF"/>
    <w:rsid w:val="24270C66"/>
    <w:rsid w:val="26172211"/>
    <w:rsid w:val="29FD04D3"/>
    <w:rsid w:val="2BDC73E3"/>
    <w:rsid w:val="2CF92D3D"/>
    <w:rsid w:val="2FAC6846"/>
    <w:rsid w:val="30B97C74"/>
    <w:rsid w:val="31981078"/>
    <w:rsid w:val="319F7F4E"/>
    <w:rsid w:val="31C06AA2"/>
    <w:rsid w:val="34D66C80"/>
    <w:rsid w:val="35106050"/>
    <w:rsid w:val="384F1DA4"/>
    <w:rsid w:val="387E5813"/>
    <w:rsid w:val="39B90593"/>
    <w:rsid w:val="3A8B515E"/>
    <w:rsid w:val="3BE5712F"/>
    <w:rsid w:val="3C66733D"/>
    <w:rsid w:val="3D065BAF"/>
    <w:rsid w:val="3DEB9073"/>
    <w:rsid w:val="3EEB6395"/>
    <w:rsid w:val="3FFA232E"/>
    <w:rsid w:val="4194777E"/>
    <w:rsid w:val="421666B2"/>
    <w:rsid w:val="4574072F"/>
    <w:rsid w:val="47B01E42"/>
    <w:rsid w:val="482A15FB"/>
    <w:rsid w:val="49A30776"/>
    <w:rsid w:val="4ECE2238"/>
    <w:rsid w:val="50667B86"/>
    <w:rsid w:val="55C04EA2"/>
    <w:rsid w:val="631122C9"/>
    <w:rsid w:val="635611D7"/>
    <w:rsid w:val="64A5213F"/>
    <w:rsid w:val="67704F2B"/>
    <w:rsid w:val="6C4A05C8"/>
    <w:rsid w:val="6CEE2D6F"/>
    <w:rsid w:val="6D4D6A44"/>
    <w:rsid w:val="6ED36BA4"/>
    <w:rsid w:val="6F072F89"/>
    <w:rsid w:val="70C075D3"/>
    <w:rsid w:val="72734D90"/>
    <w:rsid w:val="73DFDDBE"/>
    <w:rsid w:val="75585ABA"/>
    <w:rsid w:val="759B6318"/>
    <w:rsid w:val="76950A1B"/>
    <w:rsid w:val="774F572B"/>
    <w:rsid w:val="781508E4"/>
    <w:rsid w:val="7908556B"/>
    <w:rsid w:val="79F71446"/>
    <w:rsid w:val="7CDC7CD3"/>
    <w:rsid w:val="7EDFE87D"/>
    <w:rsid w:val="7FAF5630"/>
    <w:rsid w:val="BEFB3528"/>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qFormat="1" w:uiPriority="39" w:semiHidden="0" w:name="toc 2"/>
    <w:lsdException w:qFormat="1" w:uiPriority="39" w:semiHidden="0"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nhideWhenUsed="0" w:uiPriority="99" w:name="header"/>
    <w:lsdException w:qFormat="1" w:unhideWhenUsed="0" w:uiPriority="99" w:semiHidden="0" w:name="footer"/>
    <w:lsdException w:uiPriority="99" w:name="index heading"/>
    <w:lsdException w:qFormat="1" w:uiPriority="35" w:name="caption"/>
    <w:lsdException w:qFormat="1" w:unhideWhenUsed="0" w:uiPriority="99" w:semiHidden="0"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99"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99"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3">
    <w:name w:val="heading 1"/>
    <w:basedOn w:val="1"/>
    <w:next w:val="1"/>
    <w:link w:val="25"/>
    <w:qFormat/>
    <w:uiPriority w:val="9"/>
    <w:pPr>
      <w:keepNext/>
      <w:keepLines/>
      <w:spacing w:before="340" w:after="330" w:line="578" w:lineRule="auto"/>
      <w:outlineLvl w:val="0"/>
    </w:pPr>
    <w:rPr>
      <w:b/>
      <w:bCs/>
      <w:kern w:val="44"/>
      <w:sz w:val="44"/>
      <w:szCs w:val="44"/>
    </w:rPr>
  </w:style>
  <w:style w:type="paragraph" w:styleId="4">
    <w:name w:val="heading 2"/>
    <w:basedOn w:val="1"/>
    <w:next w:val="1"/>
    <w:link w:val="26"/>
    <w:unhideWhenUsed/>
    <w:qFormat/>
    <w:uiPriority w:val="9"/>
    <w:pPr>
      <w:keepNext/>
      <w:keepLines/>
      <w:spacing w:before="260" w:after="260" w:line="416" w:lineRule="auto"/>
      <w:outlineLvl w:val="1"/>
    </w:pPr>
    <w:rPr>
      <w:rFonts w:asciiTheme="majorHAnsi" w:hAnsiTheme="majorHAnsi" w:eastAsiaTheme="majorEastAsia" w:cstheme="majorBidi"/>
      <w:b/>
      <w:bCs/>
      <w:sz w:val="32"/>
      <w:szCs w:val="32"/>
    </w:rPr>
  </w:style>
  <w:style w:type="paragraph" w:styleId="5">
    <w:name w:val="heading 3"/>
    <w:basedOn w:val="1"/>
    <w:next w:val="1"/>
    <w:link w:val="29"/>
    <w:unhideWhenUsed/>
    <w:qFormat/>
    <w:uiPriority w:val="9"/>
    <w:pPr>
      <w:keepNext/>
      <w:keepLines/>
      <w:spacing w:before="260" w:after="260" w:line="416" w:lineRule="auto"/>
      <w:outlineLvl w:val="2"/>
    </w:pPr>
    <w:rPr>
      <w:b/>
      <w:bCs/>
      <w:sz w:val="32"/>
      <w:szCs w:val="32"/>
    </w:rPr>
  </w:style>
  <w:style w:type="character" w:default="1" w:styleId="14">
    <w:name w:val="Default Paragraph Font"/>
    <w:semiHidden/>
    <w:unhideWhenUsed/>
    <w:qFormat/>
    <w:uiPriority w:val="1"/>
  </w:style>
  <w:style w:type="table" w:default="1" w:styleId="13">
    <w:name w:val="Normal Table"/>
    <w:semiHidden/>
    <w:unhideWhenUsed/>
    <w:qFormat/>
    <w:uiPriority w:val="99"/>
    <w:tblPr>
      <w:tblCellMar>
        <w:top w:w="0" w:type="dxa"/>
        <w:left w:w="108" w:type="dxa"/>
        <w:bottom w:w="0" w:type="dxa"/>
        <w:right w:w="108" w:type="dxa"/>
      </w:tblCellMar>
    </w:tblPr>
  </w:style>
  <w:style w:type="paragraph" w:styleId="2">
    <w:name w:val="table of figures"/>
    <w:basedOn w:val="1"/>
    <w:next w:val="1"/>
    <w:qFormat/>
    <w:uiPriority w:val="99"/>
    <w:pPr>
      <w:ind w:left="200" w:leftChars="200" w:hanging="200" w:hangingChars="200"/>
    </w:pPr>
    <w:rPr>
      <w:rFonts w:eastAsia="仿宋"/>
    </w:rPr>
  </w:style>
  <w:style w:type="paragraph" w:styleId="6">
    <w:name w:val="Body Text"/>
    <w:basedOn w:val="1"/>
    <w:link w:val="22"/>
    <w:qFormat/>
    <w:uiPriority w:val="99"/>
    <w:pPr>
      <w:spacing w:beforeLines="30"/>
    </w:pPr>
    <w:rPr>
      <w:rFonts w:ascii="仿宋_GB2312" w:eastAsia="仿宋_GB2312"/>
      <w:kern w:val="0"/>
      <w:sz w:val="30"/>
    </w:rPr>
  </w:style>
  <w:style w:type="paragraph" w:styleId="7">
    <w:name w:val="toc 3"/>
    <w:basedOn w:val="1"/>
    <w:next w:val="1"/>
    <w:unhideWhenUsed/>
    <w:qFormat/>
    <w:uiPriority w:val="39"/>
    <w:pPr>
      <w:tabs>
        <w:tab w:val="right" w:leader="dot" w:pos="8296"/>
      </w:tabs>
      <w:ind w:left="840" w:leftChars="400"/>
    </w:pPr>
  </w:style>
  <w:style w:type="paragraph" w:styleId="8">
    <w:name w:val="Balloon Text"/>
    <w:basedOn w:val="1"/>
    <w:link w:val="28"/>
    <w:unhideWhenUsed/>
    <w:qFormat/>
    <w:uiPriority w:val="99"/>
    <w:rPr>
      <w:sz w:val="18"/>
      <w:szCs w:val="18"/>
    </w:rPr>
  </w:style>
  <w:style w:type="paragraph" w:styleId="9">
    <w:name w:val="footer"/>
    <w:basedOn w:val="1"/>
    <w:next w:val="1"/>
    <w:link w:val="20"/>
    <w:qFormat/>
    <w:uiPriority w:val="99"/>
    <w:pPr>
      <w:tabs>
        <w:tab w:val="center" w:pos="4153"/>
        <w:tab w:val="right" w:pos="8306"/>
      </w:tabs>
      <w:snapToGrid w:val="0"/>
      <w:jc w:val="left"/>
    </w:pPr>
    <w:rPr>
      <w:rFonts w:ascii="Calibri" w:hAnsi="Calibri"/>
      <w:kern w:val="0"/>
      <w:sz w:val="18"/>
      <w:szCs w:val="18"/>
    </w:rPr>
  </w:style>
  <w:style w:type="paragraph" w:styleId="10">
    <w:name w:val="header"/>
    <w:basedOn w:val="1"/>
    <w:link w:val="18"/>
    <w:semiHidden/>
    <w:qFormat/>
    <w:uiPriority w:val="99"/>
    <w:pPr>
      <w:pBdr>
        <w:bottom w:val="single" w:color="auto" w:sz="6" w:space="1"/>
      </w:pBdr>
      <w:tabs>
        <w:tab w:val="center" w:pos="4153"/>
        <w:tab w:val="right" w:pos="8306"/>
      </w:tabs>
      <w:snapToGrid w:val="0"/>
      <w:jc w:val="center"/>
    </w:pPr>
    <w:rPr>
      <w:rFonts w:ascii="Calibri" w:hAnsi="Calibri"/>
      <w:kern w:val="0"/>
      <w:sz w:val="18"/>
      <w:szCs w:val="18"/>
    </w:rPr>
  </w:style>
  <w:style w:type="paragraph" w:styleId="11">
    <w:name w:val="toc 1"/>
    <w:basedOn w:val="1"/>
    <w:next w:val="1"/>
    <w:unhideWhenUsed/>
    <w:qFormat/>
    <w:uiPriority w:val="39"/>
    <w:pPr>
      <w:tabs>
        <w:tab w:val="right" w:leader="dot" w:pos="8296"/>
      </w:tabs>
      <w:spacing w:before="93"/>
      <w:jc w:val="center"/>
    </w:pPr>
    <w:rPr>
      <w:rFonts w:ascii="仿宋" w:hAnsi="仿宋" w:eastAsia="仿宋"/>
      <w:sz w:val="28"/>
      <w:szCs w:val="28"/>
    </w:rPr>
  </w:style>
  <w:style w:type="paragraph" w:styleId="12">
    <w:name w:val="toc 2"/>
    <w:basedOn w:val="1"/>
    <w:next w:val="1"/>
    <w:unhideWhenUsed/>
    <w:qFormat/>
    <w:uiPriority w:val="39"/>
    <w:pPr>
      <w:tabs>
        <w:tab w:val="right" w:leader="dot" w:pos="8296"/>
      </w:tabs>
      <w:ind w:left="420" w:leftChars="200"/>
    </w:pPr>
  </w:style>
  <w:style w:type="character" w:styleId="15">
    <w:name w:val="Strong"/>
    <w:basedOn w:val="14"/>
    <w:qFormat/>
    <w:uiPriority w:val="99"/>
    <w:rPr>
      <w:b/>
    </w:rPr>
  </w:style>
  <w:style w:type="character" w:styleId="16">
    <w:name w:val="Hyperlink"/>
    <w:basedOn w:val="14"/>
    <w:unhideWhenUsed/>
    <w:qFormat/>
    <w:uiPriority w:val="99"/>
    <w:rPr>
      <w:color w:val="0000FF" w:themeColor="hyperlink"/>
      <w:u w:val="single"/>
      <w14:textFill>
        <w14:solidFill>
          <w14:schemeClr w14:val="hlink"/>
        </w14:solidFill>
      </w14:textFill>
    </w:rPr>
  </w:style>
  <w:style w:type="character" w:customStyle="1" w:styleId="17">
    <w:name w:val="Header Char"/>
    <w:basedOn w:val="14"/>
    <w:semiHidden/>
    <w:qFormat/>
    <w:uiPriority w:val="99"/>
    <w:rPr>
      <w:rFonts w:ascii="Times New Roman" w:hAnsi="Times New Roman"/>
      <w:sz w:val="18"/>
      <w:szCs w:val="18"/>
    </w:rPr>
  </w:style>
  <w:style w:type="character" w:customStyle="1" w:styleId="18">
    <w:name w:val="页眉 Char"/>
    <w:link w:val="10"/>
    <w:semiHidden/>
    <w:qFormat/>
    <w:locked/>
    <w:uiPriority w:val="99"/>
    <w:rPr>
      <w:sz w:val="18"/>
    </w:rPr>
  </w:style>
  <w:style w:type="character" w:customStyle="1" w:styleId="19">
    <w:name w:val="Footer Char"/>
    <w:basedOn w:val="14"/>
    <w:semiHidden/>
    <w:qFormat/>
    <w:uiPriority w:val="99"/>
    <w:rPr>
      <w:rFonts w:ascii="Times New Roman" w:hAnsi="Times New Roman"/>
      <w:sz w:val="18"/>
      <w:szCs w:val="18"/>
    </w:rPr>
  </w:style>
  <w:style w:type="character" w:customStyle="1" w:styleId="20">
    <w:name w:val="页脚 Char"/>
    <w:link w:val="9"/>
    <w:qFormat/>
    <w:locked/>
    <w:uiPriority w:val="99"/>
    <w:rPr>
      <w:sz w:val="18"/>
    </w:rPr>
  </w:style>
  <w:style w:type="character" w:customStyle="1" w:styleId="21">
    <w:name w:val="Body Text Char"/>
    <w:basedOn w:val="14"/>
    <w:semiHidden/>
    <w:qFormat/>
    <w:uiPriority w:val="99"/>
    <w:rPr>
      <w:rFonts w:ascii="Times New Roman" w:hAnsi="Times New Roman"/>
      <w:szCs w:val="24"/>
    </w:rPr>
  </w:style>
  <w:style w:type="character" w:customStyle="1" w:styleId="22">
    <w:name w:val="正文文本 Char"/>
    <w:link w:val="6"/>
    <w:qFormat/>
    <w:locked/>
    <w:uiPriority w:val="99"/>
    <w:rPr>
      <w:rFonts w:ascii="仿宋_GB2312" w:hAnsi="Times New Roman" w:eastAsia="仿宋_GB2312"/>
      <w:sz w:val="24"/>
    </w:rPr>
  </w:style>
  <w:style w:type="paragraph" w:customStyle="1" w:styleId="23">
    <w:name w:val="Default"/>
    <w:qFormat/>
    <w:uiPriority w:val="99"/>
    <w:pPr>
      <w:widowControl w:val="0"/>
      <w:autoSpaceDE w:val="0"/>
      <w:autoSpaceDN w:val="0"/>
      <w:adjustRightInd w:val="0"/>
    </w:pPr>
    <w:rPr>
      <w:rFonts w:ascii="仿宋" w:hAnsi="Calibri" w:eastAsia="仿宋" w:cs="仿宋"/>
      <w:color w:val="000000"/>
      <w:sz w:val="24"/>
      <w:szCs w:val="24"/>
      <w:lang w:val="en-US" w:eastAsia="zh-CN" w:bidi="ar-SA"/>
    </w:rPr>
  </w:style>
  <w:style w:type="paragraph" w:customStyle="1" w:styleId="24">
    <w:name w:val="列出段落1"/>
    <w:basedOn w:val="1"/>
    <w:qFormat/>
    <w:uiPriority w:val="34"/>
    <w:pPr>
      <w:ind w:firstLine="420" w:firstLineChars="200"/>
    </w:pPr>
  </w:style>
  <w:style w:type="character" w:customStyle="1" w:styleId="25">
    <w:name w:val="标题 1 Char"/>
    <w:basedOn w:val="14"/>
    <w:link w:val="3"/>
    <w:qFormat/>
    <w:uiPriority w:val="9"/>
    <w:rPr>
      <w:rFonts w:ascii="Times New Roman" w:hAnsi="Times New Roman"/>
      <w:b/>
      <w:bCs/>
      <w:kern w:val="44"/>
      <w:sz w:val="44"/>
      <w:szCs w:val="44"/>
    </w:rPr>
  </w:style>
  <w:style w:type="character" w:customStyle="1" w:styleId="26">
    <w:name w:val="标题 2 Char"/>
    <w:basedOn w:val="14"/>
    <w:link w:val="4"/>
    <w:qFormat/>
    <w:uiPriority w:val="9"/>
    <w:rPr>
      <w:rFonts w:asciiTheme="majorHAnsi" w:hAnsiTheme="majorHAnsi" w:eastAsiaTheme="majorEastAsia" w:cstheme="majorBidi"/>
      <w:b/>
      <w:bCs/>
      <w:kern w:val="2"/>
      <w:sz w:val="32"/>
      <w:szCs w:val="32"/>
    </w:rPr>
  </w:style>
  <w:style w:type="paragraph" w:customStyle="1" w:styleId="27">
    <w:name w:val="TOC 标题1"/>
    <w:basedOn w:val="3"/>
    <w:next w:val="1"/>
    <w:unhideWhenUsed/>
    <w:qFormat/>
    <w:uiPriority w:val="39"/>
    <w:pPr>
      <w:widowControl/>
      <w:spacing w:before="480" w:after="0" w:line="276" w:lineRule="auto"/>
      <w:jc w:val="left"/>
      <w:outlineLvl w:val="9"/>
    </w:pPr>
    <w:rPr>
      <w:rFonts w:asciiTheme="majorHAnsi" w:hAnsiTheme="majorHAnsi" w:eastAsiaTheme="majorEastAsia" w:cstheme="majorBidi"/>
      <w:color w:val="376092" w:themeColor="accent1" w:themeShade="BF"/>
      <w:kern w:val="0"/>
      <w:sz w:val="28"/>
      <w:szCs w:val="28"/>
    </w:rPr>
  </w:style>
  <w:style w:type="character" w:customStyle="1" w:styleId="28">
    <w:name w:val="批注框文本 Char"/>
    <w:basedOn w:val="14"/>
    <w:link w:val="8"/>
    <w:semiHidden/>
    <w:qFormat/>
    <w:uiPriority w:val="99"/>
    <w:rPr>
      <w:rFonts w:ascii="Times New Roman" w:hAnsi="Times New Roman"/>
      <w:kern w:val="2"/>
      <w:sz w:val="18"/>
      <w:szCs w:val="18"/>
    </w:rPr>
  </w:style>
  <w:style w:type="character" w:customStyle="1" w:styleId="29">
    <w:name w:val="标题 3 Char"/>
    <w:basedOn w:val="14"/>
    <w:link w:val="5"/>
    <w:qFormat/>
    <w:uiPriority w:val="9"/>
    <w:rPr>
      <w:rFonts w:ascii="Times New Roman" w:hAnsi="Times New Roman"/>
      <w:b/>
      <w:bCs/>
      <w:kern w:val="2"/>
      <w:sz w:val="32"/>
      <w:szCs w:val="32"/>
    </w:rPr>
  </w:style>
  <w:style w:type="paragraph" w:customStyle="1" w:styleId="30">
    <w:name w:val="TOC 标题2"/>
    <w:basedOn w:val="3"/>
    <w:next w:val="1"/>
    <w:unhideWhenUsed/>
    <w:qFormat/>
    <w:uiPriority w:val="39"/>
    <w:pPr>
      <w:widowControl/>
      <w:spacing w:before="480" w:after="0" w:line="276" w:lineRule="auto"/>
      <w:jc w:val="left"/>
      <w:outlineLvl w:val="9"/>
    </w:pPr>
    <w:rPr>
      <w:rFonts w:asciiTheme="majorHAnsi" w:hAnsiTheme="majorHAnsi" w:eastAsiaTheme="majorEastAsia" w:cstheme="majorBidi"/>
      <w:color w:val="376092" w:themeColor="accent1" w:themeShade="BF"/>
      <w:kern w:val="0"/>
      <w:sz w:val="28"/>
      <w:szCs w:val="28"/>
    </w:rPr>
  </w:style>
  <w:style w:type="paragraph" w:customStyle="1" w:styleId="31">
    <w:name w:val="WPSOffice手动目录 1"/>
    <w:qFormat/>
    <w:uiPriority w:val="0"/>
    <w:pPr>
      <w:ind w:leftChars="0"/>
    </w:pPr>
    <w:rPr>
      <w:rFonts w:ascii="Calibri" w:hAnsi="Calibri" w:eastAsia="宋体" w:cs="Times New Roman"/>
      <w:sz w:val="20"/>
      <w:szCs w:val="20"/>
    </w:rPr>
  </w:style>
  <w:style w:type="paragraph" w:customStyle="1" w:styleId="32">
    <w:name w:val="WPSOffice手动目录 2"/>
    <w:qFormat/>
    <w:uiPriority w:val="0"/>
    <w:pPr>
      <w:ind w:leftChars="200"/>
    </w:pPr>
    <w:rPr>
      <w:rFonts w:ascii="Calibri" w:hAnsi="Calibri" w:eastAsia="宋体" w:cs="Times New Roman"/>
      <w:sz w:val="20"/>
      <w:szCs w:val="20"/>
    </w:rPr>
  </w:style>
  <w:style w:type="paragraph" w:customStyle="1" w:styleId="33">
    <w:name w:val="WPSOffice手动目录 3"/>
    <w:qFormat/>
    <w:uiPriority w:val="0"/>
    <w:pPr>
      <w:ind w:leftChars="400"/>
    </w:pPr>
    <w:rPr>
      <w:rFonts w:ascii="Calibri" w:hAnsi="Calibri" w:eastAsia="宋体" w:cs="Times New Roman"/>
      <w:sz w:val="20"/>
      <w:szCs w:val="20"/>
    </w:rPr>
  </w:style>
</w:styles>
</file>

<file path=word/_rels/document.xml.rels><?xml version="1.0" encoding="UTF-8" standalone="yes"?>
<Relationships xmlns="http://schemas.openxmlformats.org/package/2006/relationships"><Relationship Id="rId9" Type="http://schemas.openxmlformats.org/officeDocument/2006/relationships/chart" Target="charts/chart4.xml"/><Relationship Id="rId8" Type="http://schemas.openxmlformats.org/officeDocument/2006/relationships/chart" Target="charts/chart3.xml"/><Relationship Id="rId7" Type="http://schemas.openxmlformats.org/officeDocument/2006/relationships/chart" Target="charts/chart2.xml"/><Relationship Id="rId6" Type="http://schemas.openxmlformats.org/officeDocument/2006/relationships/chart" Target="charts/chart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6" Type="http://schemas.openxmlformats.org/officeDocument/2006/relationships/glossaryDocument" Target="glossary/document.xml"/><Relationship Id="rId15" Type="http://schemas.openxmlformats.org/officeDocument/2006/relationships/fontTable" Target="fontTable.xml"/><Relationship Id="rId14" Type="http://schemas.openxmlformats.org/officeDocument/2006/relationships/numbering" Target="numbering.xml"/><Relationship Id="rId13" Type="http://schemas.openxmlformats.org/officeDocument/2006/relationships/customXml" Target="../customXml/item1.xml"/><Relationship Id="rId12" Type="http://schemas.openxmlformats.org/officeDocument/2006/relationships/chart" Target="charts/chart7.xml"/><Relationship Id="rId11" Type="http://schemas.openxmlformats.org/officeDocument/2006/relationships/chart" Target="charts/chart6.xml"/><Relationship Id="rId10" Type="http://schemas.openxmlformats.org/officeDocument/2006/relationships/chart" Target="charts/chart5.xml"/><Relationship Id="rId1" Type="http://schemas.openxmlformats.org/officeDocument/2006/relationships/styles" Target="styles.xml"/></Relationships>
</file>

<file path=word/charts/_rels/chart1.xml.rels><?xml version="1.0" encoding="UTF-8" standalone="yes"?>
<Relationships xmlns="http://schemas.openxmlformats.org/package/2006/relationships"><Relationship Id="rId3" Type="http://schemas.microsoft.com/office/2011/relationships/chartColorStyle" Target="colors2.xml"/><Relationship Id="rId2" Type="http://schemas.microsoft.com/office/2011/relationships/chartStyle" Target="style2.xml"/><Relationship Id="rId1" Type="http://schemas.openxmlformats.org/officeDocument/2006/relationships/oleObject" Target="&#24037;&#20316;&#31807;3" TargetMode="External"/></Relationships>
</file>

<file path=word/charts/_rels/chart2.xml.rels><?xml version="1.0" encoding="UTF-8" standalone="yes"?>
<Relationships xmlns="http://schemas.openxmlformats.org/package/2006/relationships"><Relationship Id="rId3" Type="http://schemas.microsoft.com/office/2011/relationships/chartColorStyle" Target="colors4.xml"/><Relationship Id="rId2" Type="http://schemas.microsoft.com/office/2011/relationships/chartStyle" Target="style4.xml"/><Relationship Id="rId1" Type="http://schemas.openxmlformats.org/officeDocument/2006/relationships/oleObject" Target="&#24037;&#20316;&#31807;3" TargetMode="External"/></Relationships>
</file>

<file path=word/charts/_rels/chart3.xml.rels><?xml version="1.0" encoding="UTF-8" standalone="yes"?>
<Relationships xmlns="http://schemas.openxmlformats.org/package/2006/relationships"><Relationship Id="rId3" Type="http://schemas.microsoft.com/office/2011/relationships/chartColorStyle" Target="colors3.xml"/><Relationship Id="rId2" Type="http://schemas.microsoft.com/office/2011/relationships/chartStyle" Target="style3.xml"/><Relationship Id="rId1" Type="http://schemas.openxmlformats.org/officeDocument/2006/relationships/oleObject" Target="&#24037;&#20316;&#31807;3" TargetMode="External"/></Relationships>
</file>

<file path=word/charts/_rels/chart4.xml.rels><?xml version="1.0" encoding="UTF-8" standalone="yes"?>
<Relationships xmlns="http://schemas.openxmlformats.org/package/2006/relationships"><Relationship Id="rId3" Type="http://schemas.microsoft.com/office/2011/relationships/chartColorStyle" Target="colors5.xml"/><Relationship Id="rId2" Type="http://schemas.microsoft.com/office/2011/relationships/chartStyle" Target="style5.xml"/><Relationship Id="rId1" Type="http://schemas.openxmlformats.org/officeDocument/2006/relationships/oleObject" Target="&#24037;&#20316;&#31807;3" TargetMode="External"/></Relationships>
</file>

<file path=word/charts/_rels/chart5.xml.rels><?xml version="1.0" encoding="UTF-8" standalone="yes"?>
<Relationships xmlns="http://schemas.openxmlformats.org/package/2006/relationships"><Relationship Id="rId3" Type="http://schemas.microsoft.com/office/2011/relationships/chartColorStyle" Target="colors1.xml"/><Relationship Id="rId2" Type="http://schemas.microsoft.com/office/2011/relationships/chartStyle" Target="style1.xml"/><Relationship Id="rId1" Type="http://schemas.openxmlformats.org/officeDocument/2006/relationships/oleObject" Target="&#24037;&#20316;&#31807;3" TargetMode="External"/></Relationships>
</file>

<file path=word/charts/_rels/chart6.xml.rels><?xml version="1.0" encoding="UTF-8" standalone="yes"?>
<Relationships xmlns="http://schemas.openxmlformats.org/package/2006/relationships"><Relationship Id="rId3" Type="http://schemas.microsoft.com/office/2011/relationships/chartColorStyle" Target="colors6.xml"/><Relationship Id="rId2" Type="http://schemas.microsoft.com/office/2011/relationships/chartStyle" Target="style6.xml"/><Relationship Id="rId1" Type="http://schemas.openxmlformats.org/officeDocument/2006/relationships/oleObject" Target="&#24037;&#20316;&#31807;3" TargetMode="External"/></Relationships>
</file>

<file path=word/charts/_rels/chart7.xml.rels><?xml version="1.0" encoding="UTF-8" standalone="yes"?>
<Relationships xmlns="http://schemas.openxmlformats.org/package/2006/relationships"><Relationship Id="rId3" Type="http://schemas.microsoft.com/office/2011/relationships/chartColorStyle" Target="colors7.xml"/><Relationship Id="rId2" Type="http://schemas.microsoft.com/office/2011/relationships/chartStyle" Target="style7.xml"/><Relationship Id="rId1" Type="http://schemas.openxmlformats.org/officeDocument/2006/relationships/oleObject" Target="&#24037;&#20316;&#31807;1" TargetMode="External"/></Relationships>
</file>

<file path=word/charts/chart1.xml><?xml version="1.0" encoding="utf-8"?>
<c:chartSpace xmlns:c="http://schemas.openxmlformats.org/drawingml/2006/chart" xmlns:a="http://schemas.openxmlformats.org/drawingml/2006/main" xmlns:r="http://schemas.openxmlformats.org/officeDocument/2006/relationships">
  <c:date1904 val="false"/>
  <c:lang val="zh-CN"/>
  <c:roundedCorners val="false"/>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0" vertOverflow="ellipsis" vert="horz" wrap="square" anchor="ctr" anchorCtr="true"/>
          <a:lstStyle/>
          <a:p>
            <a:pPr defTabSz="914400">
              <a:defRPr lang="zh-CN" sz="1400" b="0" i="0" u="none" strike="noStrike" kern="1200" spc="0" baseline="0">
                <a:solidFill>
                  <a:schemeClr val="tx1">
                    <a:lumMod val="65000"/>
                    <a:lumOff val="35000"/>
                  </a:schemeClr>
                </a:solidFill>
                <a:latin typeface="+mn-lt"/>
                <a:ea typeface="+mn-ea"/>
                <a:cs typeface="+mn-cs"/>
              </a:defRPr>
            </a:pPr>
            <a:r>
              <a:t>收、支决算总计变动情况图</a:t>
            </a:r>
          </a:p>
        </c:rich>
      </c:tx>
      <c:layout>
        <c:manualLayout>
          <c:xMode val="edge"/>
          <c:yMode val="edge"/>
          <c:x val="0.256805555555556"/>
          <c:y val="0.0277777777777778"/>
        </c:manualLayout>
      </c:layout>
      <c:overlay val="false"/>
      <c:spPr>
        <a:noFill/>
        <a:ln>
          <a:noFill/>
        </a:ln>
        <a:effectLst/>
      </c:spPr>
    </c:title>
    <c:autoTitleDeleted val="false"/>
    <c:plotArea>
      <c:layout>
        <c:manualLayout>
          <c:layoutTarget val="inner"/>
          <c:xMode val="edge"/>
          <c:yMode val="edge"/>
          <c:x val="0.0903611111111111"/>
          <c:y val="0.22037037037037"/>
          <c:w val="0.852694444444444"/>
          <c:h val="0.71212962962963"/>
        </c:manualLayout>
      </c:layout>
      <c:barChart>
        <c:barDir val="col"/>
        <c:grouping val="clustered"/>
        <c:varyColors val="false"/>
        <c:ser>
          <c:idx val="0"/>
          <c:order val="0"/>
          <c:spPr>
            <a:solidFill>
              <a:schemeClr val="accent1"/>
            </a:solidFill>
            <a:ln>
              <a:noFill/>
            </a:ln>
            <a:effectLst/>
          </c:spPr>
          <c:invertIfNegative val="false"/>
          <c:dLbls>
            <c:delete val="true"/>
          </c:dLbls>
          <c:cat>
            <c:strRef>
              <c:f>[工作簿3]Sheet1!$F$12:$F$13</c:f>
              <c:strCache>
                <c:ptCount val="2"/>
                <c:pt idx="0">
                  <c:v>2020年</c:v>
                </c:pt>
                <c:pt idx="1">
                  <c:v>2021年</c:v>
                </c:pt>
              </c:strCache>
            </c:strRef>
          </c:cat>
          <c:val>
            <c:numRef>
              <c:f>[工作簿3]Sheet1!$G$12:$G$13</c:f>
              <c:numCache>
                <c:formatCode>General</c:formatCode>
                <c:ptCount val="2"/>
                <c:pt idx="0">
                  <c:v>14592.97</c:v>
                </c:pt>
                <c:pt idx="1">
                  <c:v>14316.53</c:v>
                </c:pt>
              </c:numCache>
            </c:numRef>
          </c:val>
        </c:ser>
        <c:dLbls>
          <c:showLegendKey val="false"/>
          <c:showVal val="false"/>
          <c:showCatName val="false"/>
          <c:showSerName val="false"/>
          <c:showPercent val="false"/>
          <c:showBubbleSize val="false"/>
        </c:dLbls>
        <c:gapWidth val="219"/>
        <c:overlap val="-27"/>
        <c:axId val="842424313"/>
        <c:axId val="810496307"/>
      </c:barChart>
      <c:catAx>
        <c:axId val="842424313"/>
        <c:scaling>
          <c:orientation val="minMax"/>
        </c:scaling>
        <c:delete val="false"/>
        <c:axPos val="b"/>
        <c:majorTickMark val="none"/>
        <c:minorTickMark val="none"/>
        <c:tickLblPos val="nextTo"/>
        <c:spPr>
          <a:noFill/>
          <a:ln w="9525" cap="flat" cmpd="sng" algn="ctr">
            <a:solidFill>
              <a:schemeClr val="tx1">
                <a:lumMod val="15000"/>
                <a:lumOff val="85000"/>
              </a:schemeClr>
            </a:solidFill>
            <a:round/>
          </a:ln>
          <a:effectLst/>
        </c:spPr>
        <c:txPr>
          <a:bodyPr rot="-60000000" spcFirstLastPara="0" vertOverflow="ellipsis" vert="horz" wrap="square" anchor="ctr" anchorCtr="true"/>
          <a:lstStyle/>
          <a:p>
            <a:pPr>
              <a:defRPr lang="zh-CN" sz="900" b="0" i="0" u="none" strike="noStrike" kern="1200" baseline="0">
                <a:solidFill>
                  <a:schemeClr val="tx1">
                    <a:lumMod val="65000"/>
                    <a:lumOff val="35000"/>
                  </a:schemeClr>
                </a:solidFill>
                <a:latin typeface="+mn-lt"/>
                <a:ea typeface="+mn-ea"/>
                <a:cs typeface="+mn-cs"/>
              </a:defRPr>
            </a:pPr>
          </a:p>
        </c:txPr>
        <c:crossAx val="810496307"/>
        <c:crosses val="autoZero"/>
        <c:auto val="true"/>
        <c:lblAlgn val="ctr"/>
        <c:lblOffset val="100"/>
        <c:noMultiLvlLbl val="false"/>
      </c:catAx>
      <c:valAx>
        <c:axId val="810496307"/>
        <c:scaling>
          <c:orientation val="minMax"/>
        </c:scaling>
        <c:delete val="false"/>
        <c:axPos val="l"/>
        <c:majorGridlines>
          <c:spPr>
            <a:ln w="9525" cap="flat" cmpd="sng" algn="ctr">
              <a:solidFill>
                <a:schemeClr val="tx1">
                  <a:lumMod val="15000"/>
                  <a:lumOff val="85000"/>
                </a:schemeClr>
              </a:solidFill>
              <a:round/>
            </a:ln>
            <a:effectLst/>
          </c:spPr>
        </c:majorGridlines>
        <c:numFmt formatCode="General" sourceLinked="true"/>
        <c:majorTickMark val="none"/>
        <c:minorTickMark val="none"/>
        <c:tickLblPos val="nextTo"/>
        <c:spPr>
          <a:noFill/>
          <a:ln>
            <a:noFill/>
          </a:ln>
          <a:effectLst/>
        </c:spPr>
        <c:txPr>
          <a:bodyPr rot="-60000000" spcFirstLastPara="0" vertOverflow="ellipsis" vert="horz" wrap="square" anchor="ctr" anchorCtr="true"/>
          <a:lstStyle/>
          <a:p>
            <a:pPr>
              <a:defRPr lang="zh-CN" sz="900" b="0" i="0" u="none" strike="noStrike" kern="1200" baseline="0">
                <a:solidFill>
                  <a:schemeClr val="tx1">
                    <a:lumMod val="65000"/>
                    <a:lumOff val="35000"/>
                  </a:schemeClr>
                </a:solidFill>
                <a:latin typeface="+mn-lt"/>
                <a:ea typeface="+mn-ea"/>
                <a:cs typeface="+mn-cs"/>
              </a:defRPr>
            </a:pPr>
          </a:p>
        </c:txPr>
        <c:crossAx val="842424313"/>
        <c:crosses val="autoZero"/>
        <c:crossBetween val="between"/>
      </c:valAx>
      <c:spPr>
        <a:noFill/>
        <a:ln>
          <a:noFill/>
        </a:ln>
        <a:effectLst/>
      </c:spPr>
    </c:plotArea>
    <c:plotVisOnly val="true"/>
    <c:dispBlanksAs val="gap"/>
    <c:showDLblsOverMax val="false"/>
  </c:chart>
  <c:spPr>
    <a:solidFill>
      <a:schemeClr val="bg1"/>
    </a:solidFill>
    <a:ln w="9525" cap="flat" cmpd="sng" algn="ctr">
      <a:solidFill>
        <a:schemeClr val="tx1">
          <a:lumMod val="15000"/>
          <a:lumOff val="85000"/>
        </a:schemeClr>
      </a:solidFill>
      <a:round/>
    </a:ln>
    <a:effectLst/>
  </c:spPr>
  <c:txPr>
    <a:bodyPr/>
    <a:lstStyle/>
    <a:p>
      <a:pPr>
        <a:defRPr lang="zh-CN"/>
      </a:pPr>
    </a:p>
  </c:txPr>
  <c:externalData r:id="rId1">
    <c:autoUpdate val="false"/>
  </c:externalData>
</c:chartSpace>
</file>

<file path=word/charts/chart2.xml><?xml version="1.0" encoding="utf-8"?>
<c:chartSpace xmlns:c="http://schemas.openxmlformats.org/drawingml/2006/chart" xmlns:a="http://schemas.openxmlformats.org/drawingml/2006/main" xmlns:r="http://schemas.openxmlformats.org/officeDocument/2006/relationships">
  <c:date1904 val="false"/>
  <c:lang val="zh-CN"/>
  <c:roundedCorners val="false"/>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0" vertOverflow="ellipsis" vert="horz" wrap="square" anchor="ctr" anchorCtr="true"/>
          <a:lstStyle/>
          <a:p>
            <a:pPr defTabSz="914400">
              <a:defRPr lang="zh-CN" sz="1400" b="0" i="0" u="none" strike="noStrike" kern="1200" spc="0" baseline="0">
                <a:solidFill>
                  <a:schemeClr val="tx1">
                    <a:lumMod val="65000"/>
                    <a:lumOff val="35000"/>
                  </a:schemeClr>
                </a:solidFill>
                <a:latin typeface="+mn-lt"/>
                <a:ea typeface="+mn-ea"/>
                <a:cs typeface="+mn-cs"/>
              </a:defRPr>
            </a:pPr>
            <a:r>
              <a:t>收入决算结构图</a:t>
            </a:r>
          </a:p>
        </c:rich>
      </c:tx>
      <c:layout/>
      <c:overlay val="false"/>
      <c:spPr>
        <a:noFill/>
        <a:ln>
          <a:noFill/>
        </a:ln>
        <a:effectLst/>
      </c:spPr>
    </c:title>
    <c:autoTitleDeleted val="false"/>
    <c:plotArea>
      <c:layout/>
      <c:pieChart>
        <c:varyColors val="true"/>
        <c:ser>
          <c:idx val="0"/>
          <c:order val="0"/>
          <c:spPr/>
          <c:explosion val="0"/>
          <c:dPt>
            <c:idx val="0"/>
            <c:bubble3D val="false"/>
            <c:spPr>
              <a:solidFill>
                <a:schemeClr val="accent1"/>
              </a:solidFill>
              <a:ln w="19050">
                <a:solidFill>
                  <a:schemeClr val="lt1"/>
                </a:solidFill>
              </a:ln>
              <a:effectLst/>
            </c:spPr>
          </c:dPt>
          <c:dPt>
            <c:idx val="1"/>
            <c:bubble3D val="false"/>
            <c:spPr>
              <a:solidFill>
                <a:schemeClr val="accent2"/>
              </a:solidFill>
              <a:ln w="19050">
                <a:solidFill>
                  <a:schemeClr val="lt1"/>
                </a:solidFill>
              </a:ln>
              <a:effectLst/>
            </c:spPr>
          </c:dPt>
          <c:dPt>
            <c:idx val="2"/>
            <c:bubble3D val="false"/>
            <c:spPr>
              <a:solidFill>
                <a:schemeClr val="accent3"/>
              </a:solidFill>
              <a:ln w="19050">
                <a:solidFill>
                  <a:schemeClr val="lt1"/>
                </a:solidFill>
              </a:ln>
              <a:effectLst/>
            </c:spPr>
          </c:dPt>
          <c:dLbls>
            <c:spPr>
              <a:noFill/>
              <a:ln>
                <a:noFill/>
              </a:ln>
              <a:effectLst/>
            </c:spPr>
            <c:txPr>
              <a:bodyPr rot="0" spcFirstLastPara="0" vertOverflow="ellipsis" vert="horz" wrap="square" lIns="38100" tIns="19050" rIns="38100" bIns="19050" anchor="ctr" anchorCtr="true"/>
              <a:lstStyle/>
              <a:p>
                <a:pPr>
                  <a:defRPr lang="zh-CN" sz="900" b="0" i="0" u="none" strike="noStrike" kern="1200" baseline="0">
                    <a:solidFill>
                      <a:schemeClr val="tx1">
                        <a:lumMod val="75000"/>
                        <a:lumOff val="25000"/>
                      </a:schemeClr>
                    </a:solidFill>
                    <a:latin typeface="+mn-lt"/>
                    <a:ea typeface="+mn-ea"/>
                    <a:cs typeface="+mn-cs"/>
                  </a:defRPr>
                </a:pPr>
              </a:p>
            </c:txPr>
            <c:dLblPos val="bestFit"/>
            <c:showLegendKey val="false"/>
            <c:showVal val="true"/>
            <c:showCatName val="false"/>
            <c:showSerName val="false"/>
            <c:showPercent val="false"/>
            <c:showBubbleSize val="false"/>
            <c:showLeaderLines val="true"/>
            <c:extLst>
              <c:ext xmlns:c15="http://schemas.microsoft.com/office/drawing/2012/chart" uri="{CE6537A1-D6FC-4f65-9D91-7224C49458BB}">
                <c15:layout/>
                <c15:showLeaderLines val="true"/>
                <c15:leaderLines>
                  <c:spPr>
                    <a:ln w="9525" cap="flat" cmpd="sng" algn="ctr">
                      <a:solidFill>
                        <a:schemeClr val="tx1">
                          <a:lumMod val="35000"/>
                          <a:lumOff val="65000"/>
                        </a:schemeClr>
                      </a:solidFill>
                      <a:round/>
                    </a:ln>
                    <a:effectLst/>
                  </c:spPr>
                </c15:leaderLines>
              </c:ext>
            </c:extLst>
          </c:dLbls>
          <c:cat>
            <c:strRef>
              <c:f>[工作簿3]Sheet1!$F$41:$F$43</c:f>
              <c:strCache>
                <c:ptCount val="3"/>
                <c:pt idx="0">
                  <c:v>一般公共预算财政拨款</c:v>
                </c:pt>
                <c:pt idx="1">
                  <c:v>政府性基金预算财政拨款</c:v>
                </c:pt>
                <c:pt idx="2">
                  <c:v>年初财政拨款结转和结余</c:v>
                </c:pt>
              </c:strCache>
            </c:strRef>
          </c:cat>
          <c:val>
            <c:numRef>
              <c:f>[工作簿3]Sheet1!$G$41:$G$43</c:f>
              <c:numCache>
                <c:formatCode>General</c:formatCode>
                <c:ptCount val="3"/>
                <c:pt idx="0">
                  <c:v>4179.92</c:v>
                </c:pt>
                <c:pt idx="1">
                  <c:v>2098.74</c:v>
                </c:pt>
                <c:pt idx="2">
                  <c:v>8037.86</c:v>
                </c:pt>
              </c:numCache>
            </c:numRef>
          </c:val>
        </c:ser>
        <c:dLbls>
          <c:showLegendKey val="false"/>
          <c:showVal val="true"/>
          <c:showCatName val="false"/>
          <c:showSerName val="false"/>
          <c:showPercent val="false"/>
          <c:showBubbleSize val="false"/>
          <c:showLeaderLines val="true"/>
        </c:dLbls>
        <c:firstSliceAng val="0"/>
      </c:pieChart>
      <c:spPr>
        <a:noFill/>
        <a:ln>
          <a:noFill/>
        </a:ln>
        <a:effectLst/>
      </c:spPr>
    </c:plotArea>
    <c:legend>
      <c:legendPos val="b"/>
      <c:layout/>
      <c:overlay val="false"/>
      <c:spPr>
        <a:noFill/>
        <a:ln>
          <a:noFill/>
        </a:ln>
        <a:effectLst/>
      </c:spPr>
      <c:txPr>
        <a:bodyPr rot="0" spcFirstLastPara="0" vertOverflow="ellipsis" vert="horz" wrap="square" anchor="ctr" anchorCtr="true"/>
        <a:lstStyle/>
        <a:p>
          <a:pPr>
            <a:defRPr lang="zh-CN" sz="900" b="0" i="0" u="none" strike="noStrike" kern="1200" baseline="0">
              <a:solidFill>
                <a:schemeClr val="tx1">
                  <a:lumMod val="65000"/>
                  <a:lumOff val="35000"/>
                </a:schemeClr>
              </a:solidFill>
              <a:latin typeface="+mn-lt"/>
              <a:ea typeface="+mn-ea"/>
              <a:cs typeface="+mn-cs"/>
            </a:defRPr>
          </a:pPr>
        </a:p>
      </c:txPr>
    </c:legend>
    <c:plotVisOnly val="true"/>
    <c:dispBlanksAs val="gap"/>
    <c:showDLblsOverMax val="false"/>
  </c:chart>
  <c:spPr>
    <a:solidFill>
      <a:schemeClr val="bg1"/>
    </a:solidFill>
    <a:ln w="9525" cap="flat" cmpd="sng" algn="ctr">
      <a:solidFill>
        <a:schemeClr val="tx1">
          <a:lumMod val="15000"/>
          <a:lumOff val="85000"/>
        </a:schemeClr>
      </a:solidFill>
      <a:round/>
    </a:ln>
    <a:effectLst/>
  </c:spPr>
  <c:txPr>
    <a:bodyPr/>
    <a:lstStyle/>
    <a:p>
      <a:pPr>
        <a:defRPr lang="zh-CN"/>
      </a:pPr>
    </a:p>
  </c:txPr>
  <c:externalData r:id="rId1">
    <c:autoUpdate val="false"/>
  </c:externalData>
</c:chartSpace>
</file>

<file path=word/charts/chart3.xml><?xml version="1.0" encoding="utf-8"?>
<c:chartSpace xmlns:c="http://schemas.openxmlformats.org/drawingml/2006/chart" xmlns:a="http://schemas.openxmlformats.org/drawingml/2006/main" xmlns:r="http://schemas.openxmlformats.org/officeDocument/2006/relationships">
  <c:date1904 val="false"/>
  <c:lang val="zh-CN"/>
  <c:roundedCorners val="false"/>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0" vertOverflow="ellipsis" vert="horz" wrap="square" anchor="ctr" anchorCtr="true"/>
          <a:lstStyle/>
          <a:p>
            <a:pPr defTabSz="914400">
              <a:defRPr lang="zh-CN" sz="1400" b="0" i="0" u="none" strike="noStrike" kern="1200" spc="0" baseline="0">
                <a:solidFill>
                  <a:schemeClr val="tx1">
                    <a:lumMod val="65000"/>
                    <a:lumOff val="35000"/>
                  </a:schemeClr>
                </a:solidFill>
                <a:latin typeface="+mn-lt"/>
                <a:ea typeface="+mn-ea"/>
                <a:cs typeface="+mn-cs"/>
              </a:defRPr>
            </a:pPr>
            <a:r>
              <a:t>支出决算结构图</a:t>
            </a:r>
          </a:p>
        </c:rich>
      </c:tx>
      <c:layout/>
      <c:overlay val="false"/>
      <c:spPr>
        <a:noFill/>
        <a:ln>
          <a:noFill/>
        </a:ln>
        <a:effectLst/>
      </c:spPr>
    </c:title>
    <c:autoTitleDeleted val="false"/>
    <c:plotArea>
      <c:layout/>
      <c:pieChart>
        <c:varyColors val="true"/>
        <c:ser>
          <c:idx val="0"/>
          <c:order val="0"/>
          <c:spPr/>
          <c:explosion val="0"/>
          <c:dPt>
            <c:idx val="0"/>
            <c:bubble3D val="false"/>
            <c:spPr>
              <a:solidFill>
                <a:schemeClr val="accent1"/>
              </a:solidFill>
              <a:ln w="19050">
                <a:solidFill>
                  <a:schemeClr val="lt1"/>
                </a:solidFill>
              </a:ln>
              <a:effectLst/>
            </c:spPr>
          </c:dPt>
          <c:dPt>
            <c:idx val="1"/>
            <c:bubble3D val="false"/>
            <c:spPr>
              <a:solidFill>
                <a:schemeClr val="accent2"/>
              </a:solidFill>
              <a:ln w="19050">
                <a:solidFill>
                  <a:schemeClr val="lt1"/>
                </a:solidFill>
              </a:ln>
              <a:effectLst/>
            </c:spPr>
          </c:dPt>
          <c:dPt>
            <c:idx val="2"/>
            <c:bubble3D val="false"/>
            <c:spPr>
              <a:solidFill>
                <a:schemeClr val="accent3"/>
              </a:solidFill>
              <a:ln w="19050">
                <a:solidFill>
                  <a:schemeClr val="lt1"/>
                </a:solidFill>
              </a:ln>
              <a:effectLst/>
            </c:spPr>
          </c:dPt>
          <c:dLbls>
            <c:spPr>
              <a:noFill/>
              <a:ln>
                <a:noFill/>
              </a:ln>
              <a:effectLst/>
            </c:spPr>
            <c:txPr>
              <a:bodyPr rot="0" spcFirstLastPara="0" vertOverflow="ellipsis" vert="horz" wrap="square" lIns="38100" tIns="19050" rIns="38100" bIns="19050" anchor="ctr" anchorCtr="true"/>
              <a:lstStyle/>
              <a:p>
                <a:pPr>
                  <a:defRPr lang="zh-CN" sz="900" b="0" i="0" u="none" strike="noStrike" kern="1200" baseline="0">
                    <a:solidFill>
                      <a:schemeClr val="tx1">
                        <a:lumMod val="75000"/>
                        <a:lumOff val="25000"/>
                      </a:schemeClr>
                    </a:solidFill>
                    <a:latin typeface="+mn-lt"/>
                    <a:ea typeface="+mn-ea"/>
                    <a:cs typeface="+mn-cs"/>
                  </a:defRPr>
                </a:pPr>
              </a:p>
            </c:txPr>
            <c:dLblPos val="bestFit"/>
            <c:showLegendKey val="false"/>
            <c:showVal val="true"/>
            <c:showCatName val="false"/>
            <c:showSerName val="false"/>
            <c:showPercent val="false"/>
            <c:showBubbleSize val="false"/>
            <c:showLeaderLines val="true"/>
            <c:extLst>
              <c:ext xmlns:c15="http://schemas.microsoft.com/office/drawing/2012/chart" uri="{CE6537A1-D6FC-4f65-9D91-7224C49458BB}">
                <c15:layout/>
                <c15:showLeaderLines val="true"/>
                <c15:leaderLines>
                  <c:spPr>
                    <a:ln w="9525" cap="flat" cmpd="sng" algn="ctr">
                      <a:solidFill>
                        <a:schemeClr val="tx1">
                          <a:lumMod val="35000"/>
                          <a:lumOff val="65000"/>
                        </a:schemeClr>
                      </a:solidFill>
                      <a:round/>
                    </a:ln>
                    <a:effectLst/>
                  </c:spPr>
                </c15:leaderLines>
              </c:ext>
            </c:extLst>
          </c:dLbls>
          <c:cat>
            <c:strRef>
              <c:f>[工作簿3]Sheet1!$F$41:$F$43</c:f>
              <c:strCache>
                <c:ptCount val="3"/>
                <c:pt idx="0">
                  <c:v>基本支出</c:v>
                </c:pt>
                <c:pt idx="1">
                  <c:v>项目支出</c:v>
                </c:pt>
              </c:strCache>
            </c:strRef>
          </c:cat>
          <c:val>
            <c:numRef>
              <c:f>[工作簿3]Sheet1!$G$41:$G$43</c:f>
              <c:numCache>
                <c:formatCode>General</c:formatCode>
                <c:ptCount val="3"/>
                <c:pt idx="0">
                  <c:v>4215.25</c:v>
                </c:pt>
                <c:pt idx="1">
                  <c:v>10101.27</c:v>
                </c:pt>
              </c:numCache>
            </c:numRef>
          </c:val>
        </c:ser>
        <c:dLbls>
          <c:showLegendKey val="false"/>
          <c:showVal val="true"/>
          <c:showCatName val="false"/>
          <c:showSerName val="false"/>
          <c:showPercent val="false"/>
          <c:showBubbleSize val="false"/>
          <c:showLeaderLines val="true"/>
        </c:dLbls>
        <c:firstSliceAng val="0"/>
      </c:pieChart>
      <c:spPr>
        <a:noFill/>
        <a:ln>
          <a:noFill/>
        </a:ln>
        <a:effectLst/>
      </c:spPr>
    </c:plotArea>
    <c:legend>
      <c:legendPos val="b"/>
      <c:layout/>
      <c:overlay val="false"/>
      <c:spPr>
        <a:noFill/>
        <a:ln>
          <a:noFill/>
        </a:ln>
        <a:effectLst/>
      </c:spPr>
      <c:txPr>
        <a:bodyPr rot="0" spcFirstLastPara="0" vertOverflow="ellipsis" vert="horz" wrap="square" anchor="ctr" anchorCtr="true"/>
        <a:lstStyle/>
        <a:p>
          <a:pPr>
            <a:defRPr lang="zh-CN" sz="900" b="0" i="0" u="none" strike="noStrike" kern="1200" baseline="0">
              <a:solidFill>
                <a:schemeClr val="tx1">
                  <a:lumMod val="65000"/>
                  <a:lumOff val="35000"/>
                </a:schemeClr>
              </a:solidFill>
              <a:latin typeface="+mn-lt"/>
              <a:ea typeface="+mn-ea"/>
              <a:cs typeface="+mn-cs"/>
            </a:defRPr>
          </a:pPr>
        </a:p>
      </c:txPr>
    </c:legend>
    <c:plotVisOnly val="true"/>
    <c:dispBlanksAs val="gap"/>
    <c:showDLblsOverMax val="false"/>
  </c:chart>
  <c:spPr>
    <a:solidFill>
      <a:schemeClr val="bg1"/>
    </a:solidFill>
    <a:ln w="9525" cap="flat" cmpd="sng" algn="ctr">
      <a:solidFill>
        <a:schemeClr val="tx1">
          <a:lumMod val="15000"/>
          <a:lumOff val="85000"/>
        </a:schemeClr>
      </a:solidFill>
      <a:round/>
    </a:ln>
    <a:effectLst/>
  </c:spPr>
  <c:txPr>
    <a:bodyPr/>
    <a:lstStyle/>
    <a:p>
      <a:pPr>
        <a:defRPr lang="zh-CN"/>
      </a:pPr>
    </a:p>
  </c:txPr>
  <c:externalData r:id="rId1">
    <c:autoUpdate val="false"/>
  </c:externalData>
</c:chartSpace>
</file>

<file path=word/charts/chart4.xml><?xml version="1.0" encoding="utf-8"?>
<c:chartSpace xmlns:c="http://schemas.openxmlformats.org/drawingml/2006/chart" xmlns:a="http://schemas.openxmlformats.org/drawingml/2006/main" xmlns:r="http://schemas.openxmlformats.org/officeDocument/2006/relationships">
  <c:date1904 val="false"/>
  <c:lang val="zh-CN"/>
  <c:roundedCorners val="false"/>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0" vertOverflow="ellipsis" vert="horz" wrap="square" anchor="ctr" anchorCtr="true"/>
          <a:lstStyle/>
          <a:p>
            <a:pPr defTabSz="914400">
              <a:defRPr lang="zh-CN" sz="1400" b="0" i="0" u="none" strike="noStrike" kern="1200" spc="0" baseline="0">
                <a:solidFill>
                  <a:schemeClr val="tx1">
                    <a:lumMod val="65000"/>
                    <a:lumOff val="35000"/>
                  </a:schemeClr>
                </a:solidFill>
                <a:latin typeface="+mn-lt"/>
                <a:ea typeface="+mn-ea"/>
                <a:cs typeface="+mn-cs"/>
              </a:defRPr>
            </a:pPr>
            <a:r>
              <a:t>财政拨款收、支决算总计变动情况</a:t>
            </a:r>
          </a:p>
        </c:rich>
      </c:tx>
      <c:layout/>
      <c:overlay val="false"/>
      <c:spPr>
        <a:noFill/>
        <a:ln>
          <a:noFill/>
        </a:ln>
        <a:effectLst/>
      </c:spPr>
    </c:title>
    <c:autoTitleDeleted val="false"/>
    <c:plotArea>
      <c:layout/>
      <c:barChart>
        <c:barDir val="col"/>
        <c:grouping val="clustered"/>
        <c:varyColors val="false"/>
        <c:ser>
          <c:idx val="0"/>
          <c:order val="0"/>
          <c:spPr>
            <a:solidFill>
              <a:schemeClr val="accent1"/>
            </a:solidFill>
            <a:ln>
              <a:noFill/>
            </a:ln>
            <a:effectLst/>
          </c:spPr>
          <c:invertIfNegative val="false"/>
          <c:dLbls>
            <c:spPr>
              <a:noFill/>
              <a:ln>
                <a:noFill/>
              </a:ln>
              <a:effectLst/>
            </c:spPr>
            <c:txPr>
              <a:bodyPr rot="0" spcFirstLastPara="0" vertOverflow="ellipsis" vert="horz" wrap="square" lIns="38100" tIns="19050" rIns="38100" bIns="19050" anchor="ctr" anchorCtr="true"/>
              <a:lstStyle/>
              <a:p>
                <a:pPr>
                  <a:defRPr lang="zh-CN" sz="900" b="0" i="0" u="none" strike="noStrike" kern="1200" baseline="0">
                    <a:solidFill>
                      <a:schemeClr val="tx1">
                        <a:lumMod val="75000"/>
                        <a:lumOff val="25000"/>
                      </a:schemeClr>
                    </a:solidFill>
                    <a:latin typeface="+mn-lt"/>
                    <a:ea typeface="+mn-ea"/>
                    <a:cs typeface="+mn-cs"/>
                  </a:defRPr>
                </a:pPr>
              </a:p>
            </c:txPr>
            <c:dLblPos val="inEnd"/>
            <c:showLegendKey val="false"/>
            <c:showVal val="true"/>
            <c:showCatName val="false"/>
            <c:showSerName val="false"/>
            <c:showPercent val="false"/>
            <c:showBubbleSize val="false"/>
            <c:showLeaderLines val="false"/>
            <c:extLst>
              <c:ext xmlns:c15="http://schemas.microsoft.com/office/drawing/2012/chart" uri="{CE6537A1-D6FC-4f65-9D91-7224C49458BB}">
                <c15:layout/>
                <c15:showLeaderLines val="true"/>
                <c15:leaderLines>
                  <c:spPr>
                    <a:ln w="9525" cap="flat" cmpd="sng" algn="ctr">
                      <a:solidFill>
                        <a:schemeClr val="tx1">
                          <a:lumMod val="35000"/>
                          <a:lumOff val="65000"/>
                        </a:schemeClr>
                      </a:solidFill>
                      <a:round/>
                    </a:ln>
                    <a:effectLst/>
                  </c:spPr>
                </c15:leaderLines>
              </c:ext>
            </c:extLst>
          </c:dLbls>
          <c:cat>
            <c:strRef>
              <c:f>[工作簿3]Sheet1!$F$12:$F$13</c:f>
              <c:strCache>
                <c:ptCount val="2"/>
                <c:pt idx="0">
                  <c:v>2020年</c:v>
                </c:pt>
                <c:pt idx="1">
                  <c:v>2021年</c:v>
                </c:pt>
              </c:strCache>
            </c:strRef>
          </c:cat>
          <c:val>
            <c:numRef>
              <c:f>[工作簿3]Sheet1!$G$12:$G$13</c:f>
              <c:numCache>
                <c:formatCode>General</c:formatCode>
                <c:ptCount val="2"/>
                <c:pt idx="0">
                  <c:v>14592.97</c:v>
                </c:pt>
                <c:pt idx="1">
                  <c:v>14316.53</c:v>
                </c:pt>
              </c:numCache>
            </c:numRef>
          </c:val>
        </c:ser>
        <c:dLbls>
          <c:showLegendKey val="false"/>
          <c:showVal val="true"/>
          <c:showCatName val="false"/>
          <c:showSerName val="false"/>
          <c:showPercent val="false"/>
          <c:showBubbleSize val="false"/>
        </c:dLbls>
        <c:gapWidth val="75"/>
        <c:overlap val="40"/>
        <c:axId val="842424313"/>
        <c:axId val="810496307"/>
      </c:barChart>
      <c:catAx>
        <c:axId val="842424313"/>
        <c:scaling>
          <c:orientation val="minMax"/>
        </c:scaling>
        <c:delete val="false"/>
        <c:axPos val="b"/>
        <c:majorTickMark val="none"/>
        <c:minorTickMark val="none"/>
        <c:tickLblPos val="nextTo"/>
        <c:spPr>
          <a:noFill/>
          <a:ln w="9525" cap="flat" cmpd="sng" algn="ctr">
            <a:solidFill>
              <a:schemeClr val="tx1">
                <a:lumMod val="15000"/>
                <a:lumOff val="85000"/>
              </a:schemeClr>
            </a:solidFill>
            <a:round/>
          </a:ln>
          <a:effectLst/>
        </c:spPr>
        <c:txPr>
          <a:bodyPr rot="-60000000" spcFirstLastPara="0" vertOverflow="ellipsis" vert="horz" wrap="square" anchor="ctr" anchorCtr="true"/>
          <a:lstStyle/>
          <a:p>
            <a:pPr>
              <a:defRPr lang="zh-CN" sz="900" b="0" i="0" u="none" strike="noStrike" kern="1200" baseline="0">
                <a:solidFill>
                  <a:schemeClr val="tx1">
                    <a:lumMod val="65000"/>
                    <a:lumOff val="35000"/>
                  </a:schemeClr>
                </a:solidFill>
                <a:latin typeface="+mn-lt"/>
                <a:ea typeface="+mn-ea"/>
                <a:cs typeface="+mn-cs"/>
              </a:defRPr>
            </a:pPr>
          </a:p>
        </c:txPr>
        <c:crossAx val="810496307"/>
        <c:crosses val="autoZero"/>
        <c:auto val="true"/>
        <c:lblAlgn val="ctr"/>
        <c:lblOffset val="100"/>
        <c:noMultiLvlLbl val="false"/>
      </c:catAx>
      <c:valAx>
        <c:axId val="810496307"/>
        <c:scaling>
          <c:orientation val="minMax"/>
        </c:scaling>
        <c:delete val="false"/>
        <c:axPos val="l"/>
        <c:majorGridlines>
          <c:spPr>
            <a:ln w="9525" cap="flat" cmpd="sng" algn="ctr">
              <a:solidFill>
                <a:schemeClr val="tx1">
                  <a:lumMod val="15000"/>
                  <a:lumOff val="85000"/>
                </a:schemeClr>
              </a:solidFill>
              <a:round/>
            </a:ln>
            <a:effectLst/>
          </c:spPr>
        </c:majorGridlines>
        <c:numFmt formatCode="General" sourceLinked="true"/>
        <c:majorTickMark val="none"/>
        <c:minorTickMark val="none"/>
        <c:tickLblPos val="nextTo"/>
        <c:spPr>
          <a:noFill/>
          <a:ln>
            <a:noFill/>
          </a:ln>
          <a:effectLst/>
        </c:spPr>
        <c:txPr>
          <a:bodyPr rot="-60000000" spcFirstLastPara="0" vertOverflow="ellipsis" vert="horz" wrap="square" anchor="ctr" anchorCtr="true"/>
          <a:lstStyle/>
          <a:p>
            <a:pPr>
              <a:defRPr lang="zh-CN" sz="900" b="0" i="0" u="none" strike="noStrike" kern="1200" baseline="0">
                <a:solidFill>
                  <a:schemeClr val="tx1">
                    <a:lumMod val="65000"/>
                    <a:lumOff val="35000"/>
                  </a:schemeClr>
                </a:solidFill>
                <a:latin typeface="+mn-lt"/>
                <a:ea typeface="+mn-ea"/>
                <a:cs typeface="+mn-cs"/>
              </a:defRPr>
            </a:pPr>
          </a:p>
        </c:txPr>
        <c:crossAx val="842424313"/>
        <c:crosses val="autoZero"/>
        <c:crossBetween val="between"/>
      </c:valAx>
      <c:spPr>
        <a:noFill/>
        <a:ln>
          <a:noFill/>
        </a:ln>
        <a:effectLst/>
      </c:spPr>
    </c:plotArea>
    <c:legend>
      <c:legendPos val="r"/>
      <c:layout/>
      <c:overlay val="false"/>
      <c:spPr>
        <a:noFill/>
        <a:ln>
          <a:noFill/>
        </a:ln>
        <a:effectLst/>
      </c:spPr>
      <c:txPr>
        <a:bodyPr rot="0" spcFirstLastPara="0" vertOverflow="ellipsis" vert="horz" wrap="square" anchor="ctr" anchorCtr="true"/>
        <a:lstStyle/>
        <a:p>
          <a:pPr>
            <a:defRPr lang="zh-CN" sz="900" b="0" i="0" u="none" strike="noStrike" kern="1200" baseline="0">
              <a:solidFill>
                <a:schemeClr val="tx1">
                  <a:lumMod val="65000"/>
                  <a:lumOff val="35000"/>
                </a:schemeClr>
              </a:solidFill>
              <a:latin typeface="+mn-lt"/>
              <a:ea typeface="+mn-ea"/>
              <a:cs typeface="+mn-cs"/>
            </a:defRPr>
          </a:pPr>
        </a:p>
      </c:txPr>
    </c:legend>
    <c:plotVisOnly val="true"/>
    <c:dispBlanksAs val="gap"/>
    <c:showDLblsOverMax val="false"/>
  </c:chart>
  <c:spPr>
    <a:solidFill>
      <a:schemeClr val="bg1"/>
    </a:solidFill>
    <a:ln w="9525" cap="flat" cmpd="sng" algn="ctr">
      <a:solidFill>
        <a:schemeClr val="tx1">
          <a:lumMod val="15000"/>
          <a:lumOff val="85000"/>
        </a:schemeClr>
      </a:solidFill>
      <a:round/>
    </a:ln>
    <a:effectLst/>
  </c:spPr>
  <c:txPr>
    <a:bodyPr/>
    <a:lstStyle/>
    <a:p>
      <a:pPr>
        <a:defRPr lang="zh-CN"/>
      </a:pPr>
    </a:p>
  </c:txPr>
  <c:externalData r:id="rId1">
    <c:autoUpdate val="false"/>
  </c:externalData>
</c:chartSpace>
</file>

<file path=word/charts/chart5.xml><?xml version="1.0" encoding="utf-8"?>
<c:chartSpace xmlns:c="http://schemas.openxmlformats.org/drawingml/2006/chart" xmlns:a="http://schemas.openxmlformats.org/drawingml/2006/main" xmlns:r="http://schemas.openxmlformats.org/officeDocument/2006/relationships">
  <c:date1904 val="false"/>
  <c:lang val="zh-CN"/>
  <c:roundedCorners val="false"/>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0" vertOverflow="ellipsis" vert="horz" wrap="square" anchor="ctr" anchorCtr="true"/>
          <a:lstStyle/>
          <a:p>
            <a:pPr defTabSz="914400">
              <a:defRPr lang="zh-CN" sz="1400" b="0" i="0" u="none" strike="noStrike" kern="1200" spc="0" baseline="0">
                <a:solidFill>
                  <a:schemeClr val="tx1">
                    <a:lumMod val="65000"/>
                    <a:lumOff val="35000"/>
                  </a:schemeClr>
                </a:solidFill>
                <a:latin typeface="+mn-lt"/>
                <a:ea typeface="+mn-ea"/>
                <a:cs typeface="+mn-cs"/>
              </a:defRPr>
            </a:pPr>
            <a:r>
              <a:t>一般公共预算财政拨款支出决算变动情况</a:t>
            </a:r>
          </a:p>
        </c:rich>
      </c:tx>
      <c:layout/>
      <c:overlay val="false"/>
      <c:spPr>
        <a:noFill/>
        <a:ln>
          <a:noFill/>
        </a:ln>
        <a:effectLst/>
      </c:spPr>
    </c:title>
    <c:autoTitleDeleted val="false"/>
    <c:plotArea>
      <c:layout/>
      <c:barChart>
        <c:barDir val="col"/>
        <c:grouping val="clustered"/>
        <c:varyColors val="false"/>
        <c:ser>
          <c:idx val="0"/>
          <c:order val="0"/>
          <c:spPr>
            <a:solidFill>
              <a:schemeClr val="accent1"/>
            </a:solidFill>
            <a:ln>
              <a:noFill/>
            </a:ln>
            <a:effectLst/>
          </c:spPr>
          <c:invertIfNegative val="false"/>
          <c:dLbls>
            <c:spPr>
              <a:noFill/>
              <a:ln>
                <a:noFill/>
              </a:ln>
              <a:effectLst/>
            </c:spPr>
            <c:txPr>
              <a:bodyPr rot="0" spcFirstLastPara="0" vertOverflow="ellipsis" vert="horz" wrap="square" lIns="38100" tIns="19050" rIns="38100" bIns="19050" anchor="ctr" anchorCtr="true"/>
              <a:lstStyle/>
              <a:p>
                <a:pPr>
                  <a:defRPr lang="zh-CN" sz="900" b="0" i="0" u="none" strike="noStrike" kern="1200" baseline="0">
                    <a:solidFill>
                      <a:schemeClr val="tx1">
                        <a:lumMod val="75000"/>
                        <a:lumOff val="25000"/>
                      </a:schemeClr>
                    </a:solidFill>
                    <a:latin typeface="+mn-lt"/>
                    <a:ea typeface="+mn-ea"/>
                    <a:cs typeface="+mn-cs"/>
                  </a:defRPr>
                </a:pPr>
              </a:p>
            </c:txPr>
            <c:dLblPos val="inEnd"/>
            <c:showLegendKey val="false"/>
            <c:showVal val="true"/>
            <c:showCatName val="false"/>
            <c:showSerName val="false"/>
            <c:showPercent val="false"/>
            <c:showBubbleSize val="false"/>
            <c:showLeaderLines val="false"/>
            <c:extLst>
              <c:ext xmlns:c15="http://schemas.microsoft.com/office/drawing/2012/chart" uri="{CE6537A1-D6FC-4f65-9D91-7224C49458BB}">
                <c15:layout/>
                <c15:showLeaderLines val="true"/>
                <c15:leaderLines>
                  <c:spPr>
                    <a:ln w="9525" cap="flat" cmpd="sng" algn="ctr">
                      <a:solidFill>
                        <a:schemeClr val="tx1">
                          <a:lumMod val="35000"/>
                          <a:lumOff val="65000"/>
                        </a:schemeClr>
                      </a:solidFill>
                      <a:round/>
                    </a:ln>
                    <a:effectLst/>
                  </c:spPr>
                </c15:leaderLines>
              </c:ext>
            </c:extLst>
          </c:dLbls>
          <c:cat>
            <c:strRef>
              <c:f>[工作簿3]Sheet1!$F$12:$F$13</c:f>
              <c:strCache>
                <c:ptCount val="2"/>
                <c:pt idx="0">
                  <c:v>2020年</c:v>
                </c:pt>
                <c:pt idx="1">
                  <c:v>2021年</c:v>
                </c:pt>
              </c:strCache>
            </c:strRef>
          </c:cat>
          <c:val>
            <c:numRef>
              <c:f>[工作簿3]Sheet1!$G$12:$G$13</c:f>
              <c:numCache>
                <c:formatCode>General</c:formatCode>
                <c:ptCount val="2"/>
                <c:pt idx="0">
                  <c:v>2802.99</c:v>
                </c:pt>
                <c:pt idx="1">
                  <c:v>4215.25</c:v>
                </c:pt>
              </c:numCache>
            </c:numRef>
          </c:val>
        </c:ser>
        <c:dLbls>
          <c:showLegendKey val="false"/>
          <c:showVal val="true"/>
          <c:showCatName val="false"/>
          <c:showSerName val="false"/>
          <c:showPercent val="false"/>
          <c:showBubbleSize val="false"/>
        </c:dLbls>
        <c:gapWidth val="75"/>
        <c:overlap val="40"/>
        <c:axId val="842424313"/>
        <c:axId val="810496307"/>
      </c:barChart>
      <c:catAx>
        <c:axId val="842424313"/>
        <c:scaling>
          <c:orientation val="minMax"/>
        </c:scaling>
        <c:delete val="false"/>
        <c:axPos val="b"/>
        <c:majorTickMark val="none"/>
        <c:minorTickMark val="none"/>
        <c:tickLblPos val="nextTo"/>
        <c:spPr>
          <a:noFill/>
          <a:ln w="9525" cap="flat" cmpd="sng" algn="ctr">
            <a:solidFill>
              <a:schemeClr val="tx1">
                <a:lumMod val="15000"/>
                <a:lumOff val="85000"/>
              </a:schemeClr>
            </a:solidFill>
            <a:round/>
          </a:ln>
          <a:effectLst/>
        </c:spPr>
        <c:txPr>
          <a:bodyPr rot="-60000000" spcFirstLastPara="0" vertOverflow="ellipsis" vert="horz" wrap="square" anchor="ctr" anchorCtr="true"/>
          <a:lstStyle/>
          <a:p>
            <a:pPr>
              <a:defRPr lang="zh-CN" sz="900" b="0" i="0" u="none" strike="noStrike" kern="1200" baseline="0">
                <a:solidFill>
                  <a:schemeClr val="tx1">
                    <a:lumMod val="65000"/>
                    <a:lumOff val="35000"/>
                  </a:schemeClr>
                </a:solidFill>
                <a:latin typeface="+mn-lt"/>
                <a:ea typeface="+mn-ea"/>
                <a:cs typeface="+mn-cs"/>
              </a:defRPr>
            </a:pPr>
          </a:p>
        </c:txPr>
        <c:crossAx val="810496307"/>
        <c:crosses val="autoZero"/>
        <c:auto val="true"/>
        <c:lblAlgn val="ctr"/>
        <c:lblOffset val="100"/>
        <c:noMultiLvlLbl val="false"/>
      </c:catAx>
      <c:valAx>
        <c:axId val="810496307"/>
        <c:scaling>
          <c:orientation val="minMax"/>
        </c:scaling>
        <c:delete val="false"/>
        <c:axPos val="l"/>
        <c:majorGridlines>
          <c:spPr>
            <a:ln w="9525" cap="flat" cmpd="sng" algn="ctr">
              <a:solidFill>
                <a:schemeClr val="tx1">
                  <a:lumMod val="15000"/>
                  <a:lumOff val="85000"/>
                </a:schemeClr>
              </a:solidFill>
              <a:round/>
            </a:ln>
            <a:effectLst/>
          </c:spPr>
        </c:majorGridlines>
        <c:numFmt formatCode="General" sourceLinked="true"/>
        <c:majorTickMark val="none"/>
        <c:minorTickMark val="none"/>
        <c:tickLblPos val="nextTo"/>
        <c:spPr>
          <a:noFill/>
          <a:ln>
            <a:noFill/>
          </a:ln>
          <a:effectLst/>
        </c:spPr>
        <c:txPr>
          <a:bodyPr rot="-60000000" spcFirstLastPara="0" vertOverflow="ellipsis" vert="horz" wrap="square" anchor="ctr" anchorCtr="true"/>
          <a:lstStyle/>
          <a:p>
            <a:pPr>
              <a:defRPr lang="zh-CN" sz="900" b="0" i="0" u="none" strike="noStrike" kern="1200" baseline="0">
                <a:solidFill>
                  <a:schemeClr val="tx1">
                    <a:lumMod val="65000"/>
                    <a:lumOff val="35000"/>
                  </a:schemeClr>
                </a:solidFill>
                <a:latin typeface="+mn-lt"/>
                <a:ea typeface="+mn-ea"/>
                <a:cs typeface="+mn-cs"/>
              </a:defRPr>
            </a:pPr>
          </a:p>
        </c:txPr>
        <c:crossAx val="842424313"/>
        <c:crosses val="autoZero"/>
        <c:crossBetween val="between"/>
      </c:valAx>
      <c:spPr>
        <a:noFill/>
        <a:ln>
          <a:noFill/>
        </a:ln>
        <a:effectLst/>
      </c:spPr>
    </c:plotArea>
    <c:legend>
      <c:legendPos val="r"/>
      <c:layout/>
      <c:overlay val="false"/>
      <c:spPr>
        <a:noFill/>
        <a:ln>
          <a:noFill/>
        </a:ln>
        <a:effectLst/>
      </c:spPr>
      <c:txPr>
        <a:bodyPr rot="0" spcFirstLastPara="0" vertOverflow="ellipsis" vert="horz" wrap="square" anchor="ctr" anchorCtr="true"/>
        <a:lstStyle/>
        <a:p>
          <a:pPr>
            <a:defRPr lang="zh-CN" sz="900" b="0" i="0" u="none" strike="noStrike" kern="1200" baseline="0">
              <a:solidFill>
                <a:schemeClr val="tx1">
                  <a:lumMod val="65000"/>
                  <a:lumOff val="35000"/>
                </a:schemeClr>
              </a:solidFill>
              <a:latin typeface="+mn-lt"/>
              <a:ea typeface="+mn-ea"/>
              <a:cs typeface="+mn-cs"/>
            </a:defRPr>
          </a:pPr>
        </a:p>
      </c:txPr>
    </c:legend>
    <c:plotVisOnly val="true"/>
    <c:dispBlanksAs val="gap"/>
    <c:showDLblsOverMax val="false"/>
  </c:chart>
  <c:spPr>
    <a:solidFill>
      <a:schemeClr val="bg1"/>
    </a:solidFill>
    <a:ln w="9525" cap="flat" cmpd="sng" algn="ctr">
      <a:solidFill>
        <a:schemeClr val="tx1">
          <a:lumMod val="15000"/>
          <a:lumOff val="85000"/>
        </a:schemeClr>
      </a:solidFill>
      <a:round/>
    </a:ln>
    <a:effectLst/>
  </c:spPr>
  <c:txPr>
    <a:bodyPr/>
    <a:lstStyle/>
    <a:p>
      <a:pPr>
        <a:defRPr lang="zh-CN"/>
      </a:pPr>
    </a:p>
  </c:txPr>
  <c:externalData r:id="rId1">
    <c:autoUpdate val="false"/>
  </c:externalData>
</c:chartSpace>
</file>

<file path=word/charts/chart6.xml><?xml version="1.0" encoding="utf-8"?>
<c:chartSpace xmlns:c="http://schemas.openxmlformats.org/drawingml/2006/chart" xmlns:a="http://schemas.openxmlformats.org/drawingml/2006/main" xmlns:r="http://schemas.openxmlformats.org/officeDocument/2006/relationships">
  <c:date1904 val="false"/>
  <c:lang val="zh-CN"/>
  <c:roundedCorners val="false"/>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0" vertOverflow="ellipsis" vert="horz" wrap="square" anchor="ctr" anchorCtr="true"/>
          <a:lstStyle/>
          <a:p>
            <a:pPr defTabSz="914400">
              <a:defRPr lang="zh-CN" sz="1400" b="0" i="0" u="none" strike="noStrike" kern="1200" spc="0" baseline="0">
                <a:solidFill>
                  <a:schemeClr val="tx1">
                    <a:lumMod val="65000"/>
                    <a:lumOff val="35000"/>
                  </a:schemeClr>
                </a:solidFill>
                <a:latin typeface="+mn-lt"/>
                <a:ea typeface="+mn-ea"/>
                <a:cs typeface="+mn-cs"/>
              </a:defRPr>
            </a:pPr>
            <a:r>
              <a:t>一般公共预算财政拨款支出决算结构</a:t>
            </a:r>
          </a:p>
        </c:rich>
      </c:tx>
      <c:layout/>
      <c:overlay val="false"/>
      <c:spPr>
        <a:noFill/>
        <a:ln>
          <a:noFill/>
        </a:ln>
        <a:effectLst/>
      </c:spPr>
    </c:title>
    <c:autoTitleDeleted val="false"/>
    <c:plotArea>
      <c:layout/>
      <c:pieChart>
        <c:varyColors val="true"/>
        <c:ser>
          <c:idx val="0"/>
          <c:order val="0"/>
          <c:spPr/>
          <c:explosion val="0"/>
          <c:dPt>
            <c:idx val="0"/>
            <c:bubble3D val="false"/>
            <c:spPr>
              <a:solidFill>
                <a:schemeClr val="accent1"/>
              </a:solidFill>
              <a:ln w="19050">
                <a:solidFill>
                  <a:schemeClr val="lt1"/>
                </a:solidFill>
              </a:ln>
              <a:effectLst/>
            </c:spPr>
          </c:dPt>
          <c:dPt>
            <c:idx val="1"/>
            <c:bubble3D val="false"/>
            <c:spPr>
              <a:solidFill>
                <a:schemeClr val="accent2"/>
              </a:solidFill>
              <a:ln w="19050">
                <a:solidFill>
                  <a:schemeClr val="lt1"/>
                </a:solidFill>
              </a:ln>
              <a:effectLst/>
            </c:spPr>
          </c:dPt>
          <c:dPt>
            <c:idx val="2"/>
            <c:bubble3D val="false"/>
            <c:spPr>
              <a:solidFill>
                <a:schemeClr val="accent3"/>
              </a:solidFill>
              <a:ln w="19050">
                <a:solidFill>
                  <a:schemeClr val="lt1"/>
                </a:solidFill>
              </a:ln>
              <a:effectLst/>
            </c:spPr>
          </c:dPt>
          <c:dLbls>
            <c:numFmt formatCode="General" sourceLinked="true"/>
            <c:spPr>
              <a:noFill/>
              <a:ln>
                <a:noFill/>
              </a:ln>
              <a:effectLst/>
            </c:spPr>
            <c:txPr>
              <a:bodyPr rot="0" spcFirstLastPara="0" vertOverflow="ellipsis" vert="horz" wrap="square" lIns="38100" tIns="19050" rIns="38100" bIns="19050" anchor="ctr" anchorCtr="true"/>
              <a:lstStyle/>
              <a:p>
                <a:pPr>
                  <a:defRPr lang="zh-CN" sz="900" b="0" i="0" u="none" strike="noStrike" kern="1200" baseline="0">
                    <a:solidFill>
                      <a:schemeClr val="tx1">
                        <a:lumMod val="75000"/>
                        <a:lumOff val="25000"/>
                      </a:schemeClr>
                    </a:solidFill>
                    <a:latin typeface="+mn-lt"/>
                    <a:ea typeface="+mn-ea"/>
                    <a:cs typeface="+mn-cs"/>
                  </a:defRPr>
                </a:pPr>
              </a:p>
            </c:txPr>
            <c:dLblPos val="inEnd"/>
            <c:showLegendKey val="false"/>
            <c:showVal val="false"/>
            <c:showCatName val="false"/>
            <c:showSerName val="false"/>
            <c:showPercent val="true"/>
            <c:showBubbleSize val="false"/>
            <c:showLeaderLines val="true"/>
            <c:extLst>
              <c:ext xmlns:c15="http://schemas.microsoft.com/office/drawing/2012/chart" uri="{CE6537A1-D6FC-4f65-9D91-7224C49458BB}">
                <c15:layout/>
                <c15:showLeaderLines val="true"/>
                <c15:leaderLines>
                  <c:spPr>
                    <a:ln w="9525" cap="flat" cmpd="sng" algn="ctr">
                      <a:solidFill>
                        <a:schemeClr val="tx1">
                          <a:lumMod val="35000"/>
                          <a:lumOff val="65000"/>
                        </a:schemeClr>
                      </a:solidFill>
                      <a:round/>
                    </a:ln>
                    <a:effectLst/>
                  </c:spPr>
                </c15:leaderLines>
              </c:ext>
            </c:extLst>
          </c:dLbls>
          <c:cat>
            <c:strRef>
              <c:f>[工作簿3]Sheet1!$F$41:$F$43</c:f>
              <c:strCache>
                <c:ptCount val="3"/>
                <c:pt idx="0">
                  <c:v>教育支出</c:v>
                </c:pt>
                <c:pt idx="1">
                  <c:v>社会保障和就业</c:v>
                </c:pt>
                <c:pt idx="2">
                  <c:v>卫生健康支出</c:v>
                </c:pt>
              </c:strCache>
            </c:strRef>
          </c:cat>
          <c:val>
            <c:numRef>
              <c:f>[工作簿3]Sheet1!$G$41:$G$43</c:f>
              <c:numCache>
                <c:formatCode>General</c:formatCode>
                <c:ptCount val="3"/>
                <c:pt idx="0">
                  <c:v>4143.89</c:v>
                </c:pt>
                <c:pt idx="1">
                  <c:v>53.25</c:v>
                </c:pt>
                <c:pt idx="2">
                  <c:v>18.11</c:v>
                </c:pt>
              </c:numCache>
            </c:numRef>
          </c:val>
        </c:ser>
        <c:dLbls>
          <c:showLegendKey val="false"/>
          <c:showVal val="true"/>
          <c:showCatName val="false"/>
          <c:showSerName val="false"/>
          <c:showPercent val="false"/>
          <c:showBubbleSize val="false"/>
          <c:showLeaderLines val="true"/>
        </c:dLbls>
        <c:firstSliceAng val="0"/>
      </c:pieChart>
      <c:spPr>
        <a:noFill/>
        <a:ln>
          <a:noFill/>
        </a:ln>
        <a:effectLst/>
      </c:spPr>
    </c:plotArea>
    <c:legend>
      <c:legendPos val="r"/>
      <c:layout/>
      <c:overlay val="false"/>
      <c:spPr>
        <a:noFill/>
        <a:ln>
          <a:noFill/>
        </a:ln>
        <a:effectLst/>
      </c:spPr>
      <c:txPr>
        <a:bodyPr rot="0" spcFirstLastPara="0" vertOverflow="ellipsis" vert="horz" wrap="square" anchor="ctr" anchorCtr="true"/>
        <a:lstStyle/>
        <a:p>
          <a:pPr>
            <a:defRPr lang="zh-CN" sz="900" b="0" i="0" u="none" strike="noStrike" kern="1200" baseline="0">
              <a:solidFill>
                <a:schemeClr val="tx1">
                  <a:lumMod val="65000"/>
                  <a:lumOff val="35000"/>
                </a:schemeClr>
              </a:solidFill>
              <a:latin typeface="+mn-lt"/>
              <a:ea typeface="+mn-ea"/>
              <a:cs typeface="+mn-cs"/>
            </a:defRPr>
          </a:pPr>
        </a:p>
      </c:txPr>
    </c:legend>
    <c:plotVisOnly val="true"/>
    <c:dispBlanksAs val="gap"/>
    <c:showDLblsOverMax val="false"/>
  </c:chart>
  <c:spPr>
    <a:solidFill>
      <a:schemeClr val="bg1"/>
    </a:solidFill>
    <a:ln w="9525" cap="flat" cmpd="sng" algn="ctr">
      <a:solidFill>
        <a:schemeClr val="tx1">
          <a:lumMod val="15000"/>
          <a:lumOff val="85000"/>
        </a:schemeClr>
      </a:solidFill>
      <a:round/>
    </a:ln>
    <a:effectLst/>
  </c:spPr>
  <c:txPr>
    <a:bodyPr/>
    <a:lstStyle/>
    <a:p>
      <a:pPr>
        <a:defRPr lang="zh-CN"/>
      </a:pPr>
    </a:p>
  </c:txPr>
  <c:externalData r:id="rId1">
    <c:autoUpdate val="false"/>
  </c:externalData>
</c:chartSpace>
</file>

<file path=word/charts/chart7.xml><?xml version="1.0" encoding="utf-8"?>
<c:chartSpace xmlns:c="http://schemas.openxmlformats.org/drawingml/2006/chart" xmlns:a="http://schemas.openxmlformats.org/drawingml/2006/main" xmlns:r="http://schemas.openxmlformats.org/officeDocument/2006/relationships">
  <c:date1904 val="false"/>
  <c:lang val="zh-CN"/>
  <c:roundedCorners val="false"/>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0" vertOverflow="ellipsis" vert="horz" wrap="square" anchor="ctr" anchorCtr="true"/>
          <a:lstStyle/>
          <a:p>
            <a:pPr defTabSz="914400">
              <a:defRPr lang="zh-CN" sz="1400" b="0" i="0" u="none" strike="noStrike" kern="1200" spc="0" baseline="0">
                <a:solidFill>
                  <a:schemeClr val="tx1">
                    <a:lumMod val="65000"/>
                    <a:lumOff val="35000"/>
                  </a:schemeClr>
                </a:solidFill>
                <a:latin typeface="+mn-lt"/>
                <a:ea typeface="+mn-ea"/>
                <a:cs typeface="+mn-cs"/>
              </a:defRPr>
            </a:pPr>
            <a:r>
              <a:t>“三公”经费财政拨款支出结构</a:t>
            </a:r>
          </a:p>
        </c:rich>
      </c:tx>
      <c:layout/>
      <c:overlay val="false"/>
      <c:spPr>
        <a:noFill/>
        <a:ln>
          <a:noFill/>
        </a:ln>
        <a:effectLst/>
      </c:spPr>
    </c:title>
    <c:autoTitleDeleted val="false"/>
    <c:plotArea>
      <c:layout/>
      <c:pieChart>
        <c:varyColors val="true"/>
        <c:ser>
          <c:idx val="0"/>
          <c:order val="0"/>
          <c:spPr/>
          <c:explosion val="0"/>
          <c:dPt>
            <c:idx val="0"/>
            <c:bubble3D val="false"/>
            <c:spPr>
              <a:solidFill>
                <a:schemeClr val="accent1"/>
              </a:solidFill>
              <a:ln w="19050">
                <a:solidFill>
                  <a:schemeClr val="lt1"/>
                </a:solidFill>
              </a:ln>
              <a:effectLst/>
            </c:spPr>
          </c:dPt>
          <c:dPt>
            <c:idx val="1"/>
            <c:bubble3D val="false"/>
            <c:spPr>
              <a:solidFill>
                <a:schemeClr val="accent2"/>
              </a:solidFill>
              <a:ln w="19050">
                <a:solidFill>
                  <a:schemeClr val="lt1"/>
                </a:solidFill>
              </a:ln>
              <a:effectLst/>
            </c:spPr>
          </c:dPt>
          <c:dPt>
            <c:idx val="2"/>
            <c:bubble3D val="false"/>
            <c:spPr>
              <a:solidFill>
                <a:schemeClr val="accent3"/>
              </a:solidFill>
              <a:ln w="19050">
                <a:solidFill>
                  <a:schemeClr val="lt1"/>
                </a:solidFill>
              </a:ln>
              <a:effectLst/>
            </c:spPr>
          </c:dPt>
          <c:dLbls>
            <c:spPr>
              <a:noFill/>
              <a:ln>
                <a:noFill/>
              </a:ln>
              <a:effectLst/>
            </c:spPr>
            <c:txPr>
              <a:bodyPr rot="0" spcFirstLastPara="0" vertOverflow="ellipsis" vert="horz" wrap="square" lIns="38100" tIns="19050" rIns="38100" bIns="19050" anchor="ctr" anchorCtr="true"/>
              <a:lstStyle/>
              <a:p>
                <a:pPr>
                  <a:defRPr lang="zh-CN" sz="900" b="0" i="0" u="none" strike="noStrike" kern="1200" baseline="0">
                    <a:solidFill>
                      <a:schemeClr val="tx1">
                        <a:lumMod val="75000"/>
                        <a:lumOff val="25000"/>
                      </a:schemeClr>
                    </a:solidFill>
                    <a:latin typeface="+mn-lt"/>
                    <a:ea typeface="+mn-ea"/>
                    <a:cs typeface="+mn-cs"/>
                  </a:defRPr>
                </a:pPr>
              </a:p>
            </c:txPr>
            <c:dLblPos val="inEnd"/>
            <c:showLegendKey val="false"/>
            <c:showVal val="false"/>
            <c:showCatName val="false"/>
            <c:showSerName val="false"/>
            <c:showPercent val="true"/>
            <c:showBubbleSize val="false"/>
            <c:showLeaderLines val="true"/>
            <c:extLst>
              <c:ext xmlns:c15="http://schemas.microsoft.com/office/drawing/2012/chart" uri="{CE6537A1-D6FC-4f65-9D91-7224C49458BB}">
                <c15:layout/>
                <c15:showLeaderLines val="true"/>
                <c15:leaderLines>
                  <c:spPr>
                    <a:ln w="9525" cap="flat" cmpd="sng" algn="ctr">
                      <a:solidFill>
                        <a:schemeClr val="tx1">
                          <a:lumMod val="35000"/>
                          <a:lumOff val="65000"/>
                        </a:schemeClr>
                      </a:solidFill>
                      <a:round/>
                    </a:ln>
                    <a:effectLst/>
                  </c:spPr>
                </c15:leaderLines>
              </c:ext>
            </c:extLst>
          </c:dLbls>
          <c:cat>
            <c:strRef>
              <c:f>[工作簿1]Sheet1!$I$104:$I$106</c:f>
              <c:strCache>
                <c:ptCount val="3"/>
                <c:pt idx="0">
                  <c:v>公出国（境）费支出</c:v>
                </c:pt>
                <c:pt idx="1">
                  <c:v>公务用车购置及运行维护费支出</c:v>
                </c:pt>
                <c:pt idx="2">
                  <c:v>公务接待费支出</c:v>
                </c:pt>
              </c:strCache>
            </c:strRef>
          </c:cat>
          <c:val>
            <c:numRef>
              <c:f>[工作簿1]Sheet1!$J$104:$J$106</c:f>
              <c:numCache>
                <c:formatCode>General</c:formatCode>
                <c:ptCount val="3"/>
                <c:pt idx="0">
                  <c:v>0</c:v>
                </c:pt>
                <c:pt idx="1">
                  <c:v>0</c:v>
                </c:pt>
                <c:pt idx="2">
                  <c:v>0.65</c:v>
                </c:pt>
              </c:numCache>
            </c:numRef>
          </c:val>
        </c:ser>
        <c:dLbls>
          <c:showLegendKey val="false"/>
          <c:showVal val="false"/>
          <c:showCatName val="false"/>
          <c:showSerName val="false"/>
          <c:showPercent val="true"/>
          <c:showBubbleSize val="false"/>
          <c:showLeaderLines val="true"/>
        </c:dLbls>
        <c:firstSliceAng val="0"/>
      </c:pieChart>
      <c:spPr>
        <a:noFill/>
        <a:ln>
          <a:noFill/>
        </a:ln>
        <a:effectLst/>
      </c:spPr>
    </c:plotArea>
    <c:legend>
      <c:legendPos val="r"/>
      <c:layout>
        <c:manualLayout>
          <c:xMode val="edge"/>
          <c:yMode val="edge"/>
          <c:x val="0.662927078021418"/>
          <c:y val="0.412274096385542"/>
        </c:manualLayout>
      </c:layout>
      <c:overlay val="false"/>
      <c:spPr>
        <a:noFill/>
        <a:ln>
          <a:noFill/>
        </a:ln>
        <a:effectLst/>
      </c:spPr>
      <c:txPr>
        <a:bodyPr rot="0" spcFirstLastPara="0" vertOverflow="ellipsis" vert="horz" wrap="square" anchor="ctr" anchorCtr="true"/>
        <a:lstStyle/>
        <a:p>
          <a:pPr>
            <a:defRPr lang="zh-CN" sz="900" b="0" i="0" u="none" strike="noStrike" kern="1200" baseline="0">
              <a:solidFill>
                <a:schemeClr val="tx1">
                  <a:lumMod val="65000"/>
                  <a:lumOff val="35000"/>
                </a:schemeClr>
              </a:solidFill>
              <a:latin typeface="+mn-lt"/>
              <a:ea typeface="+mn-ea"/>
              <a:cs typeface="+mn-cs"/>
            </a:defRPr>
          </a:pPr>
        </a:p>
      </c:txPr>
    </c:legend>
    <c:plotVisOnly val="true"/>
    <c:dispBlanksAs val="gap"/>
    <c:showDLblsOverMax val="false"/>
  </c:chart>
  <c:spPr>
    <a:solidFill>
      <a:schemeClr val="bg1"/>
    </a:solidFill>
    <a:ln w="9525" cap="flat" cmpd="sng" algn="ctr">
      <a:solidFill>
        <a:schemeClr val="tx1">
          <a:lumMod val="15000"/>
          <a:lumOff val="85000"/>
        </a:schemeClr>
      </a:solidFill>
      <a:round/>
    </a:ln>
    <a:effectLst/>
  </c:spPr>
  <c:txPr>
    <a:bodyPr/>
    <a:lstStyle/>
    <a:p>
      <a:pPr>
        <a:defRPr lang="zh-CN"/>
      </a:pPr>
    </a:p>
  </c:txPr>
  <c:externalData r:id="rId1">
    <c:autoUpdate val="false"/>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3.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4.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5.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6.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7.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true">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2.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true">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3.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true">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4.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true">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5.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true">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6.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true">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7.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true">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glossary/_rels/document.xml.rels><?xml version="1.0" encoding="UTF-8" standalone="yes"?>
<Relationships xmlns="http://schemas.openxmlformats.org/package/2006/relationships"><Relationship Id="rId3"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s>
</file>

<file path=word/glossary/document.xml><?xml version="1.0" encoding="utf-8"?>
<w:glossary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docParts>
    <w:docPart>
      <w:docPartPr>
        <w:name w:val="{260c9c43-b607-454d-bbba-a5c6d6cd7276}"/>
        <w:style w:val=""/>
        <w:category>
          <w:name w:val="常规"/>
          <w:gallery w:val="placeholder"/>
        </w:category>
        <w:types>
          <w:type w:val="bbPlcHdr"/>
        </w:types>
        <w:behaviors>
          <w:behavior w:val="content"/>
        </w:behaviors>
        <w:description w:val=""/>
        <w:guid w:val="{260c9c43-b607-454d-bbba-a5c6d6cd7276}"/>
      </w:docPartPr>
      <w:docPartBody>
        <w:p>
          <w:r>
            <w:rPr>
              <w:color w:val="808080"/>
            </w:rPr>
            <w:t>单击此处输入文字。</w:t>
          </w:r>
        </w:p>
      </w:docPartBody>
    </w:docPart>
    <w:docPart>
      <w:docPartPr>
        <w:name w:val="{1e4b4f9e-0aee-49c2-b171-19e5af0e2396}"/>
        <w:style w:val=""/>
        <w:category>
          <w:name w:val="常规"/>
          <w:gallery w:val="placeholder"/>
        </w:category>
        <w:types>
          <w:type w:val="bbPlcHdr"/>
        </w:types>
        <w:behaviors>
          <w:behavior w:val="content"/>
        </w:behaviors>
        <w:description w:val=""/>
        <w:guid w:val="{1e4b4f9e-0aee-49c2-b171-19e5af0e2396}"/>
      </w:docPartPr>
      <w:docPartBody>
        <w:p>
          <w:r>
            <w:rPr>
              <w:color w:val="808080"/>
            </w:rPr>
            <w:t>单击此处输入文字。</w:t>
          </w:r>
        </w:p>
      </w:docPartBody>
    </w:docPart>
    <w:docPart>
      <w:docPartPr>
        <w:name w:val="{939e89b8-d290-41f5-9f55-89463f1dae21}"/>
        <w:style w:val=""/>
        <w:category>
          <w:name w:val="常规"/>
          <w:gallery w:val="placeholder"/>
        </w:category>
        <w:types>
          <w:type w:val="bbPlcHdr"/>
        </w:types>
        <w:behaviors>
          <w:behavior w:val="content"/>
        </w:behaviors>
        <w:description w:val=""/>
        <w:guid w:val="{939e89b8-d290-41f5-9f55-89463f1dae21}"/>
      </w:docPartPr>
      <w:docPartBody>
        <w:p>
          <w:r>
            <w:rPr>
              <w:color w:val="808080"/>
            </w:rPr>
            <w:t>单击此处输入文字。</w:t>
          </w:r>
        </w:p>
      </w:docPartBody>
    </w:docPart>
    <w:docPart>
      <w:docPartPr>
        <w:name w:val="{695b3483-1eb1-411a-a574-8223c76d09c0}"/>
        <w:style w:val=""/>
        <w:category>
          <w:name w:val="常规"/>
          <w:gallery w:val="placeholder"/>
        </w:category>
        <w:types>
          <w:type w:val="bbPlcHdr"/>
        </w:types>
        <w:behaviors>
          <w:behavior w:val="content"/>
        </w:behaviors>
        <w:description w:val=""/>
        <w:guid w:val="{695b3483-1eb1-411a-a574-8223c76d09c0}"/>
      </w:docPartPr>
      <w:docPartBody>
        <w:p>
          <w:r>
            <w:rPr>
              <w:color w:val="808080"/>
            </w:rPr>
            <w:t>单击此处输入文字。</w:t>
          </w:r>
        </w:p>
      </w:docPartBody>
    </w:docPart>
    <w:docPart>
      <w:docPartPr>
        <w:name w:val="{9c835d50-938e-4c59-b1b8-47e2593bf319}"/>
        <w:style w:val=""/>
        <w:category>
          <w:name w:val="常规"/>
          <w:gallery w:val="placeholder"/>
        </w:category>
        <w:types>
          <w:type w:val="bbPlcHdr"/>
        </w:types>
        <w:behaviors>
          <w:behavior w:val="content"/>
        </w:behaviors>
        <w:description w:val=""/>
        <w:guid w:val="{9c835d50-938e-4c59-b1b8-47e2593bf319}"/>
      </w:docPartPr>
      <w:docPartBody>
        <w:p>
          <w:r>
            <w:rPr>
              <w:color w:val="808080"/>
            </w:rPr>
            <w:t>单击此处输入文字。</w:t>
          </w:r>
        </w:p>
      </w:docPartBody>
    </w:docPart>
    <w:docPart>
      <w:docPartPr>
        <w:name w:val="{5ecb8845-d7ae-4d7e-91e1-b6f9b125cf20}"/>
        <w:style w:val=""/>
        <w:category>
          <w:name w:val="常规"/>
          <w:gallery w:val="placeholder"/>
        </w:category>
        <w:types>
          <w:type w:val="bbPlcHdr"/>
        </w:types>
        <w:behaviors>
          <w:behavior w:val="content"/>
        </w:behaviors>
        <w:description w:val=""/>
        <w:guid w:val="{5ecb8845-d7ae-4d7e-91e1-b6f9b125cf20}"/>
      </w:docPartPr>
      <w:docPartBody>
        <w:p>
          <w:r>
            <w:rPr>
              <w:color w:val="808080"/>
            </w:rPr>
            <w:t>单击此处输入文字。</w:t>
          </w:r>
        </w:p>
      </w:docPartBody>
    </w:docPart>
    <w:docPart>
      <w:docPartPr>
        <w:name w:val="{a2a453a8-6558-497e-b925-7da2025ce5f9}"/>
        <w:style w:val=""/>
        <w:category>
          <w:name w:val="常规"/>
          <w:gallery w:val="placeholder"/>
        </w:category>
        <w:types>
          <w:type w:val="bbPlcHdr"/>
        </w:types>
        <w:behaviors>
          <w:behavior w:val="content"/>
        </w:behaviors>
        <w:description w:val=""/>
        <w:guid w:val="{a2a453a8-6558-497e-b925-7da2025ce5f9}"/>
      </w:docPartPr>
      <w:docPartBody>
        <w:p>
          <w:r>
            <w:rPr>
              <w:color w:val="808080"/>
            </w:rPr>
            <w:t>单击此处输入文字。</w:t>
          </w:r>
        </w:p>
      </w:docPartBody>
    </w:docPart>
    <w:docPart>
      <w:docPartPr>
        <w:name w:val="{f6cdf2df-39d2-44fb-aac7-eb221f2fa48d}"/>
        <w:style w:val=""/>
        <w:category>
          <w:name w:val="常规"/>
          <w:gallery w:val="placeholder"/>
        </w:category>
        <w:types>
          <w:type w:val="bbPlcHdr"/>
        </w:types>
        <w:behaviors>
          <w:behavior w:val="content"/>
        </w:behaviors>
        <w:description w:val=""/>
        <w:guid w:val="{f6cdf2df-39d2-44fb-aac7-eb221f2fa48d}"/>
      </w:docPartPr>
      <w:docPartBody>
        <w:p>
          <w:r>
            <w:rPr>
              <w:color w:val="808080"/>
            </w:rPr>
            <w:t>单击此处输入文字。</w:t>
          </w:r>
        </w:p>
      </w:docPartBody>
    </w:docPart>
    <w:docPart>
      <w:docPartPr>
        <w:name w:val="{602006da-8d0e-446d-8354-36ec22737ba5}"/>
        <w:style w:val=""/>
        <w:category>
          <w:name w:val="常规"/>
          <w:gallery w:val="placeholder"/>
        </w:category>
        <w:types>
          <w:type w:val="bbPlcHdr"/>
        </w:types>
        <w:behaviors>
          <w:behavior w:val="content"/>
        </w:behaviors>
        <w:description w:val=""/>
        <w:guid w:val="{602006da-8d0e-446d-8354-36ec22737ba5}"/>
      </w:docPartPr>
      <w:docPartBody>
        <w:p>
          <w:r>
            <w:rPr>
              <w:color w:val="808080"/>
            </w:rPr>
            <w:t>单击此处输入文字。</w:t>
          </w:r>
        </w:p>
      </w:docPartBody>
    </w:docPart>
    <w:docPart>
      <w:docPartPr>
        <w:name w:val="{7a4308aa-97c8-44aa-824f-60518b998f81}"/>
        <w:style w:val=""/>
        <w:category>
          <w:name w:val="常规"/>
          <w:gallery w:val="placeholder"/>
        </w:category>
        <w:types>
          <w:type w:val="bbPlcHdr"/>
        </w:types>
        <w:behaviors>
          <w:behavior w:val="content"/>
        </w:behaviors>
        <w:description w:val=""/>
        <w:guid w:val="{7a4308aa-97c8-44aa-824f-60518b998f81}"/>
      </w:docPartPr>
      <w:docPartBody>
        <w:p>
          <w:r>
            <w:rPr>
              <w:color w:val="808080"/>
            </w:rPr>
            <w:t>单击此处输入文字。</w:t>
          </w:r>
        </w:p>
      </w:docPartBody>
    </w:docPart>
    <w:docPart>
      <w:docPartPr>
        <w:name w:val="{23037abe-9483-41eb-bcb4-40c4bf384c43}"/>
        <w:style w:val=""/>
        <w:category>
          <w:name w:val="常规"/>
          <w:gallery w:val="placeholder"/>
        </w:category>
        <w:types>
          <w:type w:val="bbPlcHdr"/>
        </w:types>
        <w:behaviors>
          <w:behavior w:val="content"/>
        </w:behaviors>
        <w:description w:val=""/>
        <w:guid w:val="{23037abe-9483-41eb-bcb4-40c4bf384c43}"/>
      </w:docPartPr>
      <w:docPartBody>
        <w:p>
          <w:r>
            <w:rPr>
              <w:color w:val="808080"/>
            </w:rPr>
            <w:t>单击此处输入文字。</w:t>
          </w:r>
        </w:p>
      </w:docPartBody>
    </w:docPart>
    <w:docPart>
      <w:docPartPr>
        <w:name w:val="{44d92fff-4b92-4b2b-ba6e-7df76b3bbbf9}"/>
        <w:style w:val=""/>
        <w:category>
          <w:name w:val="常规"/>
          <w:gallery w:val="placeholder"/>
        </w:category>
        <w:types>
          <w:type w:val="bbPlcHdr"/>
        </w:types>
        <w:behaviors>
          <w:behavior w:val="content"/>
        </w:behaviors>
        <w:description w:val=""/>
        <w:guid w:val="{44d92fff-4b92-4b2b-ba6e-7df76b3bbbf9}"/>
      </w:docPartPr>
      <w:docPartBody>
        <w:p>
          <w:r>
            <w:rPr>
              <w:color w:val="808080"/>
            </w:rPr>
            <w:t>单击此处输入文字。</w:t>
          </w:r>
        </w:p>
      </w:docPartBody>
    </w:docPart>
    <w:docPart>
      <w:docPartPr>
        <w:name w:val="{16cf712e-5800-4bf5-ab22-e342a46b2e1a}"/>
        <w:style w:val=""/>
        <w:category>
          <w:name w:val="常规"/>
          <w:gallery w:val="placeholder"/>
        </w:category>
        <w:types>
          <w:type w:val="bbPlcHdr"/>
        </w:types>
        <w:behaviors>
          <w:behavior w:val="content"/>
        </w:behaviors>
        <w:description w:val=""/>
        <w:guid w:val="{16cf712e-5800-4bf5-ab22-e342a46b2e1a}"/>
      </w:docPartPr>
      <w:docPartBody>
        <w:p>
          <w:r>
            <w:rPr>
              <w:color w:val="808080"/>
            </w:rPr>
            <w:t>单击此处输入文字。</w:t>
          </w:r>
        </w:p>
      </w:docPartBody>
    </w:docPart>
    <w:docPart>
      <w:docPartPr>
        <w:name w:val="{3c453ef3-0df1-498c-8963-80098fbf597f}"/>
        <w:style w:val=""/>
        <w:category>
          <w:name w:val="常规"/>
          <w:gallery w:val="placeholder"/>
        </w:category>
        <w:types>
          <w:type w:val="bbPlcHdr"/>
        </w:types>
        <w:behaviors>
          <w:behavior w:val="content"/>
        </w:behaviors>
        <w:description w:val=""/>
        <w:guid w:val="{3c453ef3-0df1-498c-8963-80098fbf597f}"/>
      </w:docPartPr>
      <w:docPartBody>
        <w:p>
          <w:r>
            <w:rPr>
              <w:color w:val="808080"/>
            </w:rPr>
            <w:t>单击此处输入文字。</w:t>
          </w:r>
        </w:p>
      </w:docPartBody>
    </w:docPart>
    <w:docPart>
      <w:docPartPr>
        <w:name w:val="{ed4cc268-751b-4c68-8a6c-32a3f5b242d6}"/>
        <w:style w:val=""/>
        <w:category>
          <w:name w:val="常规"/>
          <w:gallery w:val="placeholder"/>
        </w:category>
        <w:types>
          <w:type w:val="bbPlcHdr"/>
        </w:types>
        <w:behaviors>
          <w:behavior w:val="content"/>
        </w:behaviors>
        <w:description w:val=""/>
        <w:guid w:val="{ed4cc268-751b-4c68-8a6c-32a3f5b242d6}"/>
      </w:docPartPr>
      <w:docPartBody>
        <w:p>
          <w:r>
            <w:rPr>
              <w:color w:val="808080"/>
            </w:rPr>
            <w:t>单击此处输入文字。</w:t>
          </w:r>
        </w:p>
      </w:docPartBody>
    </w:docPart>
    <w:docPart>
      <w:docPartPr>
        <w:name w:val="{cf989eab-db38-4cfe-aac9-7f7c5a842b18}"/>
        <w:style w:val=""/>
        <w:category>
          <w:name w:val="常规"/>
          <w:gallery w:val="placeholder"/>
        </w:category>
        <w:types>
          <w:type w:val="bbPlcHdr"/>
        </w:types>
        <w:behaviors>
          <w:behavior w:val="content"/>
        </w:behaviors>
        <w:description w:val=""/>
        <w:guid w:val="{cf989eab-db38-4cfe-aac9-7f7c5a842b18}"/>
      </w:docPartPr>
      <w:docPartBody>
        <w:p>
          <w:r>
            <w:rPr>
              <w:color w:val="808080"/>
            </w:rPr>
            <w:t>单击此处输入文字。</w:t>
          </w:r>
        </w:p>
      </w:docPartBody>
    </w:docPart>
    <w:docPart>
      <w:docPartPr>
        <w:name w:val="{9201f842-ddcf-4c78-8a09-8dd29acf0ac8}"/>
        <w:style w:val=""/>
        <w:category>
          <w:name w:val="常规"/>
          <w:gallery w:val="placeholder"/>
        </w:category>
        <w:types>
          <w:type w:val="bbPlcHdr"/>
        </w:types>
        <w:behaviors>
          <w:behavior w:val="content"/>
        </w:behaviors>
        <w:description w:val=""/>
        <w:guid w:val="{9201f842-ddcf-4c78-8a09-8dd29acf0ac8}"/>
      </w:docPartPr>
      <w:docPartBody>
        <w:p>
          <w:r>
            <w:rPr>
              <w:color w:val="808080"/>
            </w:rPr>
            <w:t>单击此处输入文字。</w:t>
          </w:r>
        </w:p>
      </w:docPartBody>
    </w:docPart>
    <w:docPart>
      <w:docPartPr>
        <w:name w:val="{8782b984-c886-4148-bd9c-e1960e80bcac}"/>
        <w:style w:val=""/>
        <w:category>
          <w:name w:val="常规"/>
          <w:gallery w:val="placeholder"/>
        </w:category>
        <w:types>
          <w:type w:val="bbPlcHdr"/>
        </w:types>
        <w:behaviors>
          <w:behavior w:val="content"/>
        </w:behaviors>
        <w:description w:val=""/>
        <w:guid w:val="{8782b984-c886-4148-bd9c-e1960e80bcac}"/>
      </w:docPartPr>
      <w:docPartBody>
        <w:p>
          <w:r>
            <w:rPr>
              <w:color w:val="808080"/>
            </w:rPr>
            <w:t>单击此处输入文字。</w:t>
          </w:r>
        </w:p>
      </w:docPartBody>
    </w:docPart>
    <w:docPart>
      <w:docPartPr>
        <w:name w:val="{6539c432-0f62-4a8b-82a0-7edbbb5cdaf9}"/>
        <w:style w:val=""/>
        <w:category>
          <w:name w:val="常规"/>
          <w:gallery w:val="placeholder"/>
        </w:category>
        <w:types>
          <w:type w:val="bbPlcHdr"/>
        </w:types>
        <w:behaviors>
          <w:behavior w:val="content"/>
        </w:behaviors>
        <w:description w:val=""/>
        <w:guid w:val="{6539c432-0f62-4a8b-82a0-7edbbb5cdaf9}"/>
      </w:docPartPr>
      <w:docPartBody>
        <w:p>
          <w:r>
            <w:rPr>
              <w:color w:val="808080"/>
            </w:rPr>
            <w:t>单击此处输入文字。</w:t>
          </w:r>
        </w:p>
      </w:docPartBody>
    </w:docPart>
    <w:docPart>
      <w:docPartPr>
        <w:name w:val="{4e138653-4590-4c24-9404-f342eb5dd01b}"/>
        <w:style w:val=""/>
        <w:category>
          <w:name w:val="常规"/>
          <w:gallery w:val="placeholder"/>
        </w:category>
        <w:types>
          <w:type w:val="bbPlcHdr"/>
        </w:types>
        <w:behaviors>
          <w:behavior w:val="content"/>
        </w:behaviors>
        <w:description w:val=""/>
        <w:guid w:val="{4e138653-4590-4c24-9404-f342eb5dd01b}"/>
      </w:docPartPr>
      <w:docPartBody>
        <w:p>
          <w:r>
            <w:rPr>
              <w:color w:val="808080"/>
            </w:rPr>
            <w:t>单击此处输入文字。</w:t>
          </w:r>
        </w:p>
      </w:docPartBody>
    </w:docPart>
    <w:docPart>
      <w:docPartPr>
        <w:name w:val="{a5d9f11f-2910-4ecf-a936-811becf8e48f}"/>
        <w:style w:val=""/>
        <w:category>
          <w:name w:val="常规"/>
          <w:gallery w:val="placeholder"/>
        </w:category>
        <w:types>
          <w:type w:val="bbPlcHdr"/>
        </w:types>
        <w:behaviors>
          <w:behavior w:val="content"/>
        </w:behaviors>
        <w:description w:val=""/>
        <w:guid w:val="{a5d9f11f-2910-4ecf-a936-811becf8e48f}"/>
      </w:docPartPr>
      <w:docPartBody>
        <w:p>
          <w:r>
            <w:rPr>
              <w:color w:val="808080"/>
            </w:rPr>
            <w:t>单击此处输入文字。</w:t>
          </w:r>
        </w:p>
      </w:docPartBody>
    </w:docPart>
    <w:docPart>
      <w:docPartPr>
        <w:name w:val="{bb996914-e31f-433f-b9eb-004a0f7872c2}"/>
        <w:style w:val=""/>
        <w:category>
          <w:name w:val="常规"/>
          <w:gallery w:val="placeholder"/>
        </w:category>
        <w:types>
          <w:type w:val="bbPlcHdr"/>
        </w:types>
        <w:behaviors>
          <w:behavior w:val="content"/>
        </w:behaviors>
        <w:description w:val=""/>
        <w:guid w:val="{bb996914-e31f-433f-b9eb-004a0f7872c2}"/>
      </w:docPartPr>
      <w:docPartBody>
        <w:p>
          <w:r>
            <w:rPr>
              <w:color w:val="808080"/>
            </w:rPr>
            <w:t>单击此处输入文字。</w:t>
          </w:r>
        </w:p>
      </w:docPartBody>
    </w:docPart>
    <w:docPart>
      <w:docPartPr>
        <w:name w:val="{7788fd3f-19dd-420e-af7a-9f18a7108a15}"/>
        <w:style w:val=""/>
        <w:category>
          <w:name w:val="常规"/>
          <w:gallery w:val="placeholder"/>
        </w:category>
        <w:types>
          <w:type w:val="bbPlcHdr"/>
        </w:types>
        <w:behaviors>
          <w:behavior w:val="content"/>
        </w:behaviors>
        <w:description w:val=""/>
        <w:guid w:val="{7788fd3f-19dd-420e-af7a-9f18a7108a15}"/>
      </w:docPartPr>
      <w:docPartBody>
        <w:p>
          <w:r>
            <w:rPr>
              <w:color w:val="808080"/>
            </w:rPr>
            <w:t>单击此处输入文字。</w:t>
          </w:r>
        </w:p>
      </w:docPartBody>
    </w:docPart>
    <w:docPart>
      <w:docPartPr>
        <w:name w:val="{1b10e0a0-8ef2-4294-86f2-6825ff7ff8e5}"/>
        <w:style w:val=""/>
        <w:category>
          <w:name w:val="常规"/>
          <w:gallery w:val="placeholder"/>
        </w:category>
        <w:types>
          <w:type w:val="bbPlcHdr"/>
        </w:types>
        <w:behaviors>
          <w:behavior w:val="content"/>
        </w:behaviors>
        <w:description w:val=""/>
        <w:guid w:val="{1b10e0a0-8ef2-4294-86f2-6825ff7ff8e5}"/>
      </w:docPartPr>
      <w:docPartBody>
        <w:p>
          <w:r>
            <w:rPr>
              <w:color w:val="808080"/>
            </w:rPr>
            <w:t>单击此处输入文字。</w:t>
          </w:r>
        </w:p>
      </w:docPartBody>
    </w:docPart>
    <w:docPart>
      <w:docPartPr>
        <w:name w:val="{b0e9f20d-9b5a-42f8-ac63-08c821dcf97d}"/>
        <w:style w:val=""/>
        <w:category>
          <w:name w:val="常规"/>
          <w:gallery w:val="placeholder"/>
        </w:category>
        <w:types>
          <w:type w:val="bbPlcHdr"/>
        </w:types>
        <w:behaviors>
          <w:behavior w:val="content"/>
        </w:behaviors>
        <w:description w:val=""/>
        <w:guid w:val="{b0e9f20d-9b5a-42f8-ac63-08c821dcf97d}"/>
      </w:docPartPr>
      <w:docPartBody>
        <w:p>
          <w:r>
            <w:rPr>
              <w:color w:val="808080"/>
            </w:rPr>
            <w:t>单击此处输入文字。</w:t>
          </w:r>
        </w:p>
      </w:docPartBody>
    </w:docPart>
    <w:docPart>
      <w:docPartPr>
        <w:name w:val="{cf489ae5-87ac-444a-82ff-0fef0db56b08}"/>
        <w:style w:val=""/>
        <w:category>
          <w:name w:val="常规"/>
          <w:gallery w:val="placeholder"/>
        </w:category>
        <w:types>
          <w:type w:val="bbPlcHdr"/>
        </w:types>
        <w:behaviors>
          <w:behavior w:val="content"/>
        </w:behaviors>
        <w:description w:val=""/>
        <w:guid w:val="{cf489ae5-87ac-444a-82ff-0fef0db56b08}"/>
      </w:docPartPr>
      <w:docPartBody>
        <w:p>
          <w:r>
            <w:rPr>
              <w:color w:val="808080"/>
            </w:rPr>
            <w:t>单击此处输入文字。</w:t>
          </w:r>
        </w:p>
      </w:docPartBody>
    </w:docPart>
    <w:docPart>
      <w:docPartPr>
        <w:name w:val="{45321cd6-fc8f-4ef4-990a-6cda6a6b0b38}"/>
        <w:style w:val=""/>
        <w:category>
          <w:name w:val="常规"/>
          <w:gallery w:val="placeholder"/>
        </w:category>
        <w:types>
          <w:type w:val="bbPlcHdr"/>
        </w:types>
        <w:behaviors>
          <w:behavior w:val="content"/>
        </w:behaviors>
        <w:description w:val=""/>
        <w:guid w:val="{45321cd6-fc8f-4ef4-990a-6cda6a6b0b38}"/>
      </w:docPartPr>
      <w:docPartBody>
        <w:p>
          <w:r>
            <w:rPr>
              <w:color w:val="808080"/>
            </w:rPr>
            <w:t>单击此处输入文字。</w:t>
          </w:r>
        </w:p>
      </w:docPartBody>
    </w:docPart>
    <w:docPart>
      <w:docPartPr>
        <w:name w:val="{1e6fe7fe-195b-4e10-a22d-d1a5808c77f9}"/>
        <w:style w:val=""/>
        <w:category>
          <w:name w:val="常规"/>
          <w:gallery w:val="placeholder"/>
        </w:category>
        <w:types>
          <w:type w:val="bbPlcHdr"/>
        </w:types>
        <w:behaviors>
          <w:behavior w:val="content"/>
        </w:behaviors>
        <w:description w:val=""/>
        <w:guid w:val="{1e6fe7fe-195b-4e10-a22d-d1a5808c77f9}"/>
      </w:docPartPr>
      <w:docPartBody>
        <w:p>
          <w:r>
            <w:rPr>
              <w:color w:val="808080"/>
            </w:rPr>
            <w:t>单击此处输入文字。</w:t>
          </w:r>
        </w:p>
      </w:docPartBody>
    </w:docPart>
    <w:docPart>
      <w:docPartPr>
        <w:name w:val="{89708af5-7c96-4532-b12e-5bf322dafba3}"/>
        <w:style w:val=""/>
        <w:category>
          <w:name w:val="常规"/>
          <w:gallery w:val="placeholder"/>
        </w:category>
        <w:types>
          <w:type w:val="bbPlcHdr"/>
        </w:types>
        <w:behaviors>
          <w:behavior w:val="content"/>
        </w:behaviors>
        <w:description w:val=""/>
        <w:guid w:val="{89708af5-7c96-4532-b12e-5bf322dafba3}"/>
      </w:docPartPr>
      <w:docPartBody>
        <w:p>
          <w:r>
            <w:rPr>
              <w:color w:val="808080"/>
            </w:rPr>
            <w:t>单击此处输入文字。</w:t>
          </w:r>
        </w:p>
      </w:docPartBody>
    </w:docPart>
    <w:docPart>
      <w:docPartPr>
        <w:name w:val="{f01f3b25-5a1c-4e35-b39f-edaa5a1b4a27}"/>
        <w:style w:val=""/>
        <w:category>
          <w:name w:val="常规"/>
          <w:gallery w:val="placeholder"/>
        </w:category>
        <w:types>
          <w:type w:val="bbPlcHdr"/>
        </w:types>
        <w:behaviors>
          <w:behavior w:val="content"/>
        </w:behaviors>
        <w:description w:val=""/>
        <w:guid w:val="{f01f3b25-5a1c-4e35-b39f-edaa5a1b4a27}"/>
      </w:docPartPr>
      <w:docPartBody>
        <w:p>
          <w:r>
            <w:rPr>
              <w:color w:val="808080"/>
            </w:rPr>
            <w:t>单击此处输入文字。</w:t>
          </w:r>
        </w:p>
      </w:docPartBody>
    </w:docPart>
    <w:docPart>
      <w:docPartPr>
        <w:name w:val="{a081d1f4-b196-4660-b780-e42a55decce5}"/>
        <w:style w:val=""/>
        <w:category>
          <w:name w:val="常规"/>
          <w:gallery w:val="placeholder"/>
        </w:category>
        <w:types>
          <w:type w:val="bbPlcHdr"/>
        </w:types>
        <w:behaviors>
          <w:behavior w:val="content"/>
        </w:behaviors>
        <w:description w:val=""/>
        <w:guid w:val="{a081d1f4-b196-4660-b780-e42a55decce5}"/>
      </w:docPartPr>
      <w:docPartBody>
        <w:p>
          <w:r>
            <w:rPr>
              <w:color w:val="808080"/>
            </w:rPr>
            <w:t>单击此处输入文字。</w:t>
          </w:r>
        </w:p>
      </w:docPartBody>
    </w:docPart>
    <w:docPart>
      <w:docPartPr>
        <w:name w:val="{8b6f3e00-366e-4222-98c2-cb6d1fc631ed}"/>
        <w:style w:val=""/>
        <w:category>
          <w:name w:val="常规"/>
          <w:gallery w:val="placeholder"/>
        </w:category>
        <w:types>
          <w:type w:val="bbPlcHdr"/>
        </w:types>
        <w:behaviors>
          <w:behavior w:val="content"/>
        </w:behaviors>
        <w:description w:val=""/>
        <w:guid w:val="{8b6f3e00-366e-4222-98c2-cb6d1fc631ed}"/>
      </w:docPartPr>
      <w:docPartBody>
        <w:p>
          <w:r>
            <w:rPr>
              <w:color w:val="808080"/>
            </w:rPr>
            <w:t>单击此处输入文字。</w:t>
          </w:r>
        </w:p>
      </w:docPartBody>
    </w:docPart>
    <w:docPart>
      <w:docPartPr>
        <w:name w:val="{7a596195-791c-4bef-9812-19a326566792}"/>
        <w:style w:val=""/>
        <w:category>
          <w:name w:val="常规"/>
          <w:gallery w:val="placeholder"/>
        </w:category>
        <w:types>
          <w:type w:val="bbPlcHdr"/>
        </w:types>
        <w:behaviors>
          <w:behavior w:val="content"/>
        </w:behaviors>
        <w:description w:val=""/>
        <w:guid w:val="{7a596195-791c-4bef-9812-19a326566792}"/>
      </w:docPartPr>
      <w:docPartBody>
        <w:p>
          <w:r>
            <w:rPr>
              <w:color w:val="808080"/>
            </w:rPr>
            <w:t>单击此处输入文字。</w:t>
          </w:r>
        </w:p>
      </w:docPartBody>
    </w:docPart>
    <w:docPart>
      <w:docPartPr>
        <w:name w:val="{13daa059-9360-401c-905e-ed61f250e877}"/>
        <w:style w:val=""/>
        <w:category>
          <w:name w:val="常规"/>
          <w:gallery w:val="placeholder"/>
        </w:category>
        <w:types>
          <w:type w:val="bbPlcHdr"/>
        </w:types>
        <w:behaviors>
          <w:behavior w:val="content"/>
        </w:behaviors>
        <w:description w:val=""/>
        <w:guid w:val="{13daa059-9360-401c-905e-ed61f250e877}"/>
      </w:docPartPr>
      <w:docPartBody>
        <w:p>
          <w:r>
            <w:rPr>
              <w:color w:val="808080"/>
            </w:rPr>
            <w:t>单击此处输入文字。</w:t>
          </w:r>
        </w:p>
      </w:docPartBody>
    </w:docPart>
    <w:docPart>
      <w:docPartPr>
        <w:name w:val="{fd5a7cc3-055c-4510-8964-dd35f21109dd}"/>
        <w:style w:val=""/>
        <w:category>
          <w:name w:val="常规"/>
          <w:gallery w:val="placeholder"/>
        </w:category>
        <w:types>
          <w:type w:val="bbPlcHdr"/>
        </w:types>
        <w:behaviors>
          <w:behavior w:val="content"/>
        </w:behaviors>
        <w:description w:val=""/>
        <w:guid w:val="{fd5a7cc3-055c-4510-8964-dd35f21109dd}"/>
      </w:docPartPr>
      <w:docPartBody>
        <w:p>
          <w:r>
            <w:rPr>
              <w:color w:val="808080"/>
            </w:rPr>
            <w:t>单击此处输入文字。</w:t>
          </w:r>
        </w:p>
      </w:docPartBody>
    </w:docPart>
    <w:docPart>
      <w:docPartPr>
        <w:name w:val="{994e7bb3-0a5d-4f66-8178-51c139e182c3}"/>
        <w:style w:val=""/>
        <w:category>
          <w:name w:val="常规"/>
          <w:gallery w:val="placeholder"/>
        </w:category>
        <w:types>
          <w:type w:val="bbPlcHdr"/>
        </w:types>
        <w:behaviors>
          <w:behavior w:val="content"/>
        </w:behaviors>
        <w:description w:val=""/>
        <w:guid w:val="{994e7bb3-0a5d-4f66-8178-51c139e182c3}"/>
      </w:docPartPr>
      <w:docPartBody>
        <w:p>
          <w:r>
            <w:rPr>
              <w:color w:val="808080"/>
            </w:rPr>
            <w:t>单击此处输入文字。</w:t>
          </w:r>
        </w:p>
      </w:docPartBody>
    </w:docPart>
    <w:docPart>
      <w:docPartPr>
        <w:name w:val="{87dc3b8e-fdc8-4646-90e7-26d65e1080dd}"/>
        <w:style w:val=""/>
        <w:category>
          <w:name w:val="常规"/>
          <w:gallery w:val="placeholder"/>
        </w:category>
        <w:types>
          <w:type w:val="bbPlcHdr"/>
        </w:types>
        <w:behaviors>
          <w:behavior w:val="content"/>
        </w:behaviors>
        <w:description w:val=""/>
        <w:guid w:val="{87dc3b8e-fdc8-4646-90e7-26d65e1080dd}"/>
      </w:docPartPr>
      <w:docPartBody>
        <w:p>
          <w:r>
            <w:rPr>
              <w:color w:val="808080"/>
            </w:rPr>
            <w:t>单击此处输入文字。</w:t>
          </w:r>
        </w:p>
      </w:docPartBody>
    </w:docPart>
    <w:docPart>
      <w:docPartPr>
        <w:name w:val="{ca3db9e1-8a20-40f7-b4a9-9abc01066208}"/>
        <w:style w:val=""/>
        <w:category>
          <w:name w:val="常规"/>
          <w:gallery w:val="placeholder"/>
        </w:category>
        <w:types>
          <w:type w:val="bbPlcHdr"/>
        </w:types>
        <w:behaviors>
          <w:behavior w:val="content"/>
        </w:behaviors>
        <w:description w:val=""/>
        <w:guid w:val="{ca3db9e1-8a20-40f7-b4a9-9abc01066208}"/>
      </w:docPartPr>
      <w:docPartBody>
        <w:p>
          <w:r>
            <w:rPr>
              <w:color w:val="808080"/>
            </w:rPr>
            <w:t>单击此处输入文字。</w:t>
          </w:r>
        </w:p>
      </w:docPartBody>
    </w:docPart>
    <w:docPart>
      <w:docPartPr>
        <w:name w:val="{7ad2e80f-23eb-4c92-ad2d-01af2cfe7495}"/>
        <w:style w:val=""/>
        <w:category>
          <w:name w:val="常规"/>
          <w:gallery w:val="placeholder"/>
        </w:category>
        <w:types>
          <w:type w:val="bbPlcHdr"/>
        </w:types>
        <w:behaviors>
          <w:behavior w:val="content"/>
        </w:behaviors>
        <w:description w:val=""/>
        <w:guid w:val="{7ad2e80f-23eb-4c92-ad2d-01af2cfe7495}"/>
      </w:docPartPr>
      <w:docPartBody>
        <w:p>
          <w:r>
            <w:rPr>
              <w:color w:val="808080"/>
            </w:rPr>
            <w:t>单击此处输入文字。</w:t>
          </w:r>
        </w:p>
      </w:docPartBody>
    </w:docPart>
    <w:docPart>
      <w:docPartPr>
        <w:name w:val="{e657bb90-0374-42a8-9800-a77df638529a}"/>
        <w:style w:val=""/>
        <w:category>
          <w:name w:val="常规"/>
          <w:gallery w:val="placeholder"/>
        </w:category>
        <w:types>
          <w:type w:val="bbPlcHdr"/>
        </w:types>
        <w:behaviors>
          <w:behavior w:val="content"/>
        </w:behaviors>
        <w:description w:val=""/>
        <w:guid w:val="{e657bb90-0374-42a8-9800-a77df638529a}"/>
      </w:docPartPr>
      <w:docPartBody>
        <w:p>
          <w:r>
            <w:rPr>
              <w:color w:val="808080"/>
            </w:rPr>
            <w:t>单击此处输入文字。</w:t>
          </w:r>
        </w:p>
      </w:docPartBody>
    </w:docPart>
    <w:docPart>
      <w:docPartPr>
        <w:name w:val="{76060237-0db8-4399-8b5c-e8ccd7c32d37}"/>
        <w:style w:val=""/>
        <w:category>
          <w:name w:val="常规"/>
          <w:gallery w:val="placeholder"/>
        </w:category>
        <w:types>
          <w:type w:val="bbPlcHdr"/>
        </w:types>
        <w:behaviors>
          <w:behavior w:val="content"/>
        </w:behaviors>
        <w:description w:val=""/>
        <w:guid w:val="{76060237-0db8-4399-8b5c-e8ccd7c32d37}"/>
      </w:docPartPr>
      <w:docPartBody>
        <w:p>
          <w:r>
            <w:rPr>
              <w:color w:val="808080"/>
            </w:rPr>
            <w:t>单击此处输入文字。</w:t>
          </w:r>
        </w:p>
      </w:docPartBody>
    </w:docPart>
    <w:docPart>
      <w:docPartPr>
        <w:name w:val="{4bb73a43-5a55-4535-b078-31c5afe740b5}"/>
        <w:style w:val=""/>
        <w:category>
          <w:name w:val="常规"/>
          <w:gallery w:val="placeholder"/>
        </w:category>
        <w:types>
          <w:type w:val="bbPlcHdr"/>
        </w:types>
        <w:behaviors>
          <w:behavior w:val="content"/>
        </w:behaviors>
        <w:description w:val=""/>
        <w:guid w:val="{4bb73a43-5a55-4535-b078-31c5afe740b5}"/>
      </w:docPartPr>
      <w:docPartBody>
        <w:p>
          <w:r>
            <w:rPr>
              <w:color w:val="808080"/>
            </w:rPr>
            <w:t>单击此处输入文字。</w:t>
          </w:r>
        </w:p>
      </w:docPartBody>
    </w:docPart>
    <w:docPart>
      <w:docPartPr>
        <w:name w:val="{331c89fe-476d-44ac-b0bb-92ea58044b07}"/>
        <w:style w:val=""/>
        <w:category>
          <w:name w:val="常规"/>
          <w:gallery w:val="placeholder"/>
        </w:category>
        <w:types>
          <w:type w:val="bbPlcHdr"/>
        </w:types>
        <w:behaviors>
          <w:behavior w:val="content"/>
        </w:behaviors>
        <w:description w:val=""/>
        <w:guid w:val="{331c89fe-476d-44ac-b0bb-92ea58044b07}"/>
      </w:docPartPr>
      <w:docPartBody>
        <w:p>
          <w:r>
            <w:rPr>
              <w:color w:val="808080"/>
            </w:rPr>
            <w:t>单击此处输入文字。</w:t>
          </w:r>
        </w:p>
      </w:docPartBody>
    </w:docPart>
    <w:docPart>
      <w:docPartPr>
        <w:name w:val="{e810a085-4bed-428a-9fcc-7f5a4c65ff99}"/>
        <w:style w:val=""/>
        <w:category>
          <w:name w:val="常规"/>
          <w:gallery w:val="placeholder"/>
        </w:category>
        <w:types>
          <w:type w:val="bbPlcHdr"/>
        </w:types>
        <w:behaviors>
          <w:behavior w:val="content"/>
        </w:behaviors>
        <w:description w:val=""/>
        <w:guid w:val="{e810a085-4bed-428a-9fcc-7f5a4c65ff99}"/>
      </w:docPartPr>
      <w:docPartBody>
        <w:p>
          <w:r>
            <w:rPr>
              <w:color w:val="808080"/>
            </w:rPr>
            <w:t>单击此处输入文字。</w:t>
          </w:r>
        </w:p>
      </w:docPartBody>
    </w:docPart>
    <w:docPart>
      <w:docPartPr>
        <w:name w:val="{128d0ee6-1add-4551-8447-afe957f7c480}"/>
        <w:style w:val=""/>
        <w:category>
          <w:name w:val="常规"/>
          <w:gallery w:val="placeholder"/>
        </w:category>
        <w:types>
          <w:type w:val="bbPlcHdr"/>
        </w:types>
        <w:behaviors>
          <w:behavior w:val="content"/>
        </w:behaviors>
        <w:description w:val=""/>
        <w:guid w:val="{128d0ee6-1add-4551-8447-afe957f7c480}"/>
      </w:docPartPr>
      <w:docPartBody>
        <w:p>
          <w:r>
            <w:rPr>
              <w:color w:val="808080"/>
            </w:rPr>
            <w:t>单击此处输入文字。</w:t>
          </w:r>
        </w:p>
      </w:docPartBody>
    </w:docPart>
    <w:docPart>
      <w:docPartPr>
        <w:name w:val="{b7fb9ae6-dd01-464c-bb6c-929ae088ff31}"/>
        <w:style w:val=""/>
        <w:category>
          <w:name w:val="常规"/>
          <w:gallery w:val="placeholder"/>
        </w:category>
        <w:types>
          <w:type w:val="bbPlcHdr"/>
        </w:types>
        <w:behaviors>
          <w:behavior w:val="content"/>
        </w:behaviors>
        <w:description w:val=""/>
        <w:guid w:val="{b7fb9ae6-dd01-464c-bb6c-929ae088ff31}"/>
      </w:docPartPr>
      <w:docPartBody>
        <w:p>
          <w:r>
            <w:rPr>
              <w:color w:val="808080"/>
            </w:rPr>
            <w:t>单击此处输入文字。</w:t>
          </w:r>
        </w:p>
      </w:docPartBody>
    </w:docPart>
    <w:docPart>
      <w:docPartPr>
        <w:name w:val="{49e345cf-ff05-4ffd-b8dd-ebe2eaeff939}"/>
        <w:style w:val=""/>
        <w:category>
          <w:name w:val="常规"/>
          <w:gallery w:val="placeholder"/>
        </w:category>
        <w:types>
          <w:type w:val="bbPlcHdr"/>
        </w:types>
        <w:behaviors>
          <w:behavior w:val="content"/>
        </w:behaviors>
        <w:description w:val=""/>
        <w:guid w:val="{49e345cf-ff05-4ffd-b8dd-ebe2eaeff939}"/>
      </w:docPartPr>
      <w:docPartBody>
        <w:p>
          <w:r>
            <w:rPr>
              <w:color w:val="808080"/>
            </w:rPr>
            <w:t>单击此处输入文字。</w:t>
          </w:r>
        </w:p>
      </w:docPartBody>
    </w:docPart>
    <w:docPart>
      <w:docPartPr>
        <w:name w:val="{78aa5eba-3f9f-4d9d-a4c1-399103f0dcdf}"/>
        <w:style w:val=""/>
        <w:category>
          <w:name w:val="常规"/>
          <w:gallery w:val="placeholder"/>
        </w:category>
        <w:types>
          <w:type w:val="bbPlcHdr"/>
        </w:types>
        <w:behaviors>
          <w:behavior w:val="content"/>
        </w:behaviors>
        <w:description w:val=""/>
        <w:guid w:val="{78aa5eba-3f9f-4d9d-a4c1-399103f0dcdf}"/>
      </w:docPartPr>
      <w:docPartBody>
        <w:p>
          <w:r>
            <w:rPr>
              <w:color w:val="808080"/>
            </w:rPr>
            <w:t>单击此处输入文字。</w:t>
          </w:r>
        </w:p>
      </w:docPartBody>
    </w:docPart>
    <w:docPart>
      <w:docPartPr>
        <w:name w:val="{66a414f6-c0c2-4489-805e-95b720a2ec8a}"/>
        <w:style w:val=""/>
        <w:category>
          <w:name w:val="常规"/>
          <w:gallery w:val="placeholder"/>
        </w:category>
        <w:types>
          <w:type w:val="bbPlcHdr"/>
        </w:types>
        <w:behaviors>
          <w:behavior w:val="content"/>
        </w:behaviors>
        <w:description w:val=""/>
        <w:guid w:val="{66a414f6-c0c2-4489-805e-95b720a2ec8a}"/>
      </w:docPartPr>
      <w:docPartBody>
        <w:p>
          <w:r>
            <w:rPr>
              <w:color w:val="808080"/>
            </w:rPr>
            <w:t>单击此处输入文字。</w:t>
          </w:r>
        </w:p>
      </w:docPartBody>
    </w:docPart>
    <w:docPart>
      <w:docPartPr>
        <w:name w:val="{7d4d16d1-5387-4863-a18e-180fd36c50e9}"/>
        <w:style w:val=""/>
        <w:category>
          <w:name w:val="常规"/>
          <w:gallery w:val="placeholder"/>
        </w:category>
        <w:types>
          <w:type w:val="bbPlcHdr"/>
        </w:types>
        <w:behaviors>
          <w:behavior w:val="content"/>
        </w:behaviors>
        <w:description w:val=""/>
        <w:guid w:val="{7d4d16d1-5387-4863-a18e-180fd36c50e9}"/>
      </w:docPartPr>
      <w:docPartBody>
        <w:p>
          <w:r>
            <w:rPr>
              <w:color w:val="808080"/>
            </w:rPr>
            <w:t>单击此处输入文字。</w:t>
          </w:r>
        </w:p>
      </w:docPartBody>
    </w:docPart>
    <w:docPart>
      <w:docPartPr>
        <w:name w:val="{d48ebf71-2682-4795-98f0-3b13c5d6b2ff}"/>
        <w:style w:val=""/>
        <w:category>
          <w:name w:val="常规"/>
          <w:gallery w:val="placeholder"/>
        </w:category>
        <w:types>
          <w:type w:val="bbPlcHdr"/>
        </w:types>
        <w:behaviors>
          <w:behavior w:val="content"/>
        </w:behaviors>
        <w:description w:val=""/>
        <w:guid w:val="{d48ebf71-2682-4795-98f0-3b13c5d6b2ff}"/>
      </w:docPartPr>
      <w:docPartBody>
        <w:p>
          <w:r>
            <w:rPr>
              <w:color w:val="808080"/>
            </w:rPr>
            <w:t>单击此处输入文字。</w:t>
          </w:r>
        </w:p>
      </w:docPartBody>
    </w:docPart>
    <w:docPart>
      <w:docPartPr>
        <w:name w:val="{f500878a-0646-4729-bec0-8631d32bf79b}"/>
        <w:style w:val=""/>
        <w:category>
          <w:name w:val="常规"/>
          <w:gallery w:val="placeholder"/>
        </w:category>
        <w:types>
          <w:type w:val="bbPlcHdr"/>
        </w:types>
        <w:behaviors>
          <w:behavior w:val="content"/>
        </w:behaviors>
        <w:description w:val=""/>
        <w:guid w:val="{f500878a-0646-4729-bec0-8631d32bf79b}"/>
      </w:docPartPr>
      <w:docPartBody>
        <w:p>
          <w:r>
            <w:rPr>
              <w:color w:val="808080"/>
            </w:rPr>
            <w:t>单击此处输入文字。</w:t>
          </w:r>
        </w:p>
      </w:docPartBody>
    </w:docPart>
    <w:docPart>
      <w:docPartPr>
        <w:name w:val="{f8c01e21-e126-4825-9317-b017b61c5be3}"/>
        <w:style w:val=""/>
        <w:category>
          <w:name w:val="常规"/>
          <w:gallery w:val="placeholder"/>
        </w:category>
        <w:types>
          <w:type w:val="bbPlcHdr"/>
        </w:types>
        <w:behaviors>
          <w:behavior w:val="content"/>
        </w:behaviors>
        <w:description w:val=""/>
        <w:guid w:val="{f8c01e21-e126-4825-9317-b017b61c5be3}"/>
      </w:docPartPr>
      <w:docPartBody>
        <w:p>
          <w:r>
            <w:rPr>
              <w:color w:val="808080"/>
            </w:rPr>
            <w:t>单击此处输入文字。</w:t>
          </w:r>
        </w:p>
      </w:docPartBody>
    </w:docPart>
    <w:docPart>
      <w:docPartPr>
        <w:name w:val="{b57e27ac-dbce-4540-80c7-06dd7f94959b}"/>
        <w:style w:val=""/>
        <w:category>
          <w:name w:val="常规"/>
          <w:gallery w:val="placeholder"/>
        </w:category>
        <w:types>
          <w:type w:val="bbPlcHdr"/>
        </w:types>
        <w:behaviors>
          <w:behavior w:val="content"/>
        </w:behaviors>
        <w:description w:val=""/>
        <w:guid w:val="{b57e27ac-dbce-4540-80c7-06dd7f94959b}"/>
      </w:docPartPr>
      <w:docPartBody>
        <w:p>
          <w:r>
            <w:rPr>
              <w:color w:val="808080"/>
            </w:rPr>
            <w:t>单击此处输入文字。</w:t>
          </w:r>
        </w:p>
      </w:docPartBody>
    </w:docPart>
    <w:docPart>
      <w:docPartPr>
        <w:name w:val="{c7ca99db-6803-452f-8f99-3703deba82f1}"/>
        <w:style w:val=""/>
        <w:category>
          <w:name w:val="常规"/>
          <w:gallery w:val="placeholder"/>
        </w:category>
        <w:types>
          <w:type w:val="bbPlcHdr"/>
        </w:types>
        <w:behaviors>
          <w:behavior w:val="content"/>
        </w:behaviors>
        <w:description w:val=""/>
        <w:guid w:val="{c7ca99db-6803-452f-8f99-3703deba82f1}"/>
      </w:docPartPr>
      <w:docPartBody>
        <w:p>
          <w:r>
            <w:rPr>
              <w:color w:val="808080"/>
            </w:rPr>
            <w:t>单击此处输入文字。</w:t>
          </w:r>
        </w:p>
      </w:docPartBody>
    </w:docPart>
    <w:docPart>
      <w:docPartPr>
        <w:name w:val="{5bb8eafd-b83d-4e77-9c75-1df999aba5a1}"/>
        <w:style w:val=""/>
        <w:category>
          <w:name w:val="常规"/>
          <w:gallery w:val="placeholder"/>
        </w:category>
        <w:types>
          <w:type w:val="bbPlcHdr"/>
        </w:types>
        <w:behaviors>
          <w:behavior w:val="content"/>
        </w:behaviors>
        <w:description w:val=""/>
        <w:guid w:val="{5bb8eafd-b83d-4e77-9c75-1df999aba5a1}"/>
      </w:docPartPr>
      <w:docPartBody>
        <w:p>
          <w:r>
            <w:rPr>
              <w:color w:val="808080"/>
            </w:rPr>
            <w:t>单击此处输入文字。</w:t>
          </w:r>
        </w:p>
      </w:docPartBody>
    </w:docPart>
    <w:docPart>
      <w:docPartPr>
        <w:name w:val="{41c1b77d-ad8c-42af-aa5c-28c8de3db9b2}"/>
        <w:style w:val=""/>
        <w:category>
          <w:name w:val="常规"/>
          <w:gallery w:val="placeholder"/>
        </w:category>
        <w:types>
          <w:type w:val="bbPlcHdr"/>
        </w:types>
        <w:behaviors>
          <w:behavior w:val="content"/>
        </w:behaviors>
        <w:description w:val=""/>
        <w:guid w:val="{41c1b77d-ad8c-42af-aa5c-28c8de3db9b2}"/>
      </w:docPartPr>
      <w:docPartBody>
        <w:p>
          <w:r>
            <w:rPr>
              <w:color w:val="808080"/>
            </w:rPr>
            <w:t>单击此处输入文字。</w:t>
          </w:r>
        </w:p>
      </w:docPartBody>
    </w:docPart>
    <w:docPart>
      <w:docPartPr>
        <w:name w:val="{a9cd28e9-1f71-443a-8d4c-c4ff2f120ebc}"/>
        <w:style w:val=""/>
        <w:category>
          <w:name w:val="常规"/>
          <w:gallery w:val="placeholder"/>
        </w:category>
        <w:types>
          <w:type w:val="bbPlcHdr"/>
        </w:types>
        <w:behaviors>
          <w:behavior w:val="content"/>
        </w:behaviors>
        <w:description w:val=""/>
        <w:guid w:val="{a9cd28e9-1f71-443a-8d4c-c4ff2f120ebc}"/>
      </w:docPartPr>
      <w:docPartBody>
        <w:p>
          <w:r>
            <w:rPr>
              <w:color w:val="808080"/>
            </w:rPr>
            <w:t>单击此处输入文字。</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0000000000000000000"/>
    <w:charset w:val="86"/>
    <w:family w:val="auto"/>
    <w:pitch w:val="default"/>
    <w:sig w:usb0="00000000" w:usb1="00000000" w:usb2="00000000" w:usb3="00000000" w:csb0="00000000" w:csb1="00000000"/>
  </w:font>
  <w:font w:name="Wingdings">
    <w:altName w:val="方正宋体S-超大字符集(SIP)"/>
    <w:panose1 w:val="05000000000000000000"/>
    <w:charset w:val="02"/>
    <w:family w:val="auto"/>
    <w:pitch w:val="default"/>
    <w:sig w:usb0="00000000" w:usb1="00000000" w:usb2="00000000" w:usb3="00000000" w:csb0="80000000" w:csb1="00000000"/>
  </w:font>
  <w:font w:name="Arial">
    <w:altName w:val="Times New Roman"/>
    <w:panose1 w:val="020B0604020202020204"/>
    <w:charset w:val="01"/>
    <w:family w:val="swiss"/>
    <w:pitch w:val="default"/>
    <w:sig w:usb0="E0002AFF" w:usb1="C0007843" w:usb2="00000009" w:usb3="00000000" w:csb0="400001FF" w:csb1="FFFF0000"/>
  </w:font>
  <w:font w:name="黑体">
    <w:altName w:val="方正黑体_GBK"/>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altName w:val="方正宋体S-超大字符集(SIP)"/>
    <w:panose1 w:val="05050102010706020507"/>
    <w:charset w:val="02"/>
    <w:family w:val="roman"/>
    <w:pitch w:val="default"/>
    <w:sig w:usb0="00000000" w:usb1="00000000" w:usb2="00000000" w:usb3="00000000" w:csb0="80000000" w:csb1="00000000"/>
  </w:font>
  <w:font w:name="Calibri">
    <w:altName w:val="DejaVu Sans"/>
    <w:panose1 w:val="020F0502020204030204"/>
    <w:charset w:val="00"/>
    <w:family w:val="swiss"/>
    <w:pitch w:val="default"/>
    <w:sig w:usb0="00000000" w:usb1="00000000" w:usb2="00000001"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doNotDisplayPageBoundaries w:val="true"/>
  <w:compat>
    <w:useFELayout/>
    <w:splitPgBreakAndParaMark/>
    <w:compatSetting w:name="compatibilityMode" w:uri="http://schemas.microsoft.com/office/word" w:val="14"/>
  </w:compat>
  <w:rsids>
    <w:rsidRoot w:val="00000000"/>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glossary/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style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true">
          <a:gsLst>
            <a:gs pos="0">
              <a:schemeClr val="phClr">
                <a:tint val="50000"/>
                <a:satMod val="300000"/>
              </a:schemeClr>
            </a:gs>
            <a:gs pos="35000">
              <a:schemeClr val="phClr">
                <a:tint val="37000"/>
                <a:satMod val="300000"/>
              </a:schemeClr>
            </a:gs>
            <a:gs pos="100000">
              <a:schemeClr val="phClr">
                <a:tint val="15000"/>
                <a:satMod val="350000"/>
              </a:schemeClr>
            </a:gs>
          </a:gsLst>
          <a:lin ang="16200000" scaled="true"/>
        </a:gradFill>
        <a:gradFill rotWithShape="true">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false"/>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true">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true">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四川省财政厅</Company>
  <Pages>31</Pages>
  <Words>9238</Words>
  <Characters>9879</Characters>
  <Lines>61</Lines>
  <Paragraphs>17</Paragraphs>
  <TotalTime>0</TotalTime>
  <ScaleCrop>false</ScaleCrop>
  <LinksUpToDate>false</LinksUpToDate>
  <CharactersWithSpaces>9905</CharactersWithSpaces>
  <Application>WPS Office_11.8.2.10125_F1E327BC-269C-435d-A152-05C5408002CA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2020-08-06T01:49:00Z</dcterms:created>
  <dc:creator>曹颖</dc:creator>
  <cp:lastModifiedBy>静水流深</cp:lastModifiedBy>
  <cp:lastPrinted>2023-06-02T10:01:00Z</cp:lastPrinted>
  <dcterms:modified xsi:type="dcterms:W3CDTF">2023-06-08T09:00:09Z</dcterms:modified>
  <dc:title>四川省***</dc:title>
  <cp:revision>42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2052-11.8.2.10125</vt:lpwstr>
  </property>
  <property fmtid="{D5CDD505-2E9C-101B-9397-08002B2CF9AE}" pid="3" name="ICV">
    <vt:lpwstr>BDD776C34558424E8C74249D69C5BE2A</vt:lpwstr>
  </property>
</Properties>
</file>