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hint="eastAsia" w:ascii="方正小标宋简体" w:hAnsi="宋体" w:eastAsia="方正小标宋简体"/>
          <w:color w:val="000000"/>
          <w:sz w:val="52"/>
          <w:szCs w:val="52"/>
          <w:lang w:eastAsia="zh-CN"/>
        </w:rPr>
      </w:pPr>
      <w:bookmarkStart w:id="1" w:name="_Toc15396597"/>
      <w:bookmarkStart w:id="2" w:name="_Toc15377425"/>
      <w:bookmarkStart w:id="3" w:name="_Toc15378441"/>
      <w:bookmarkStart w:id="4" w:name="_Toc15396475"/>
      <w:bookmarkStart w:id="5" w:name="_Toc15377193"/>
      <w:r>
        <w:rPr>
          <w:rFonts w:hint="eastAsia" w:ascii="方正小标宋简体" w:hAnsi="宋体" w:eastAsia="方正小标宋简体"/>
          <w:color w:val="000000"/>
          <w:sz w:val="52"/>
          <w:szCs w:val="52"/>
          <w:lang w:eastAsia="zh-CN"/>
        </w:rPr>
        <w:t>202</w:t>
      </w:r>
      <w:r>
        <w:rPr>
          <w:rFonts w:hint="eastAsia" w:ascii="方正小标宋简体" w:hAnsi="宋体" w:eastAsia="方正小标宋简体"/>
          <w:color w:val="000000"/>
          <w:sz w:val="52"/>
          <w:szCs w:val="52"/>
          <w:lang w:val="en-US" w:eastAsia="zh-CN"/>
        </w:rPr>
        <w:t>1</w:t>
      </w:r>
      <w:r>
        <w:rPr>
          <w:rFonts w:hint="eastAsia" w:ascii="方正小标宋简体" w:hAnsi="宋体" w:eastAsia="方正小标宋简体"/>
          <w:color w:val="000000"/>
          <w:sz w:val="52"/>
          <w:szCs w:val="52"/>
          <w:lang w:eastAsia="zh-CN"/>
        </w:rPr>
        <w:t>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96598"/>
      <w:bookmarkStart w:id="7" w:name="_Toc15377426"/>
      <w:bookmarkStart w:id="8" w:name="_Toc15306268"/>
      <w:bookmarkStart w:id="9" w:name="_Toc15377194"/>
      <w:bookmarkStart w:id="10" w:name="_Toc15396476"/>
      <w:bookmarkStart w:id="11" w:name="_Toc15378442"/>
      <w:r>
        <w:rPr>
          <w:rFonts w:hint="eastAsia" w:ascii="方正小标宋简体" w:hAnsi="宋体" w:eastAsia="方正小标宋简体"/>
          <w:color w:val="000000"/>
          <w:sz w:val="52"/>
          <w:szCs w:val="52"/>
          <w:lang w:eastAsia="zh-CN"/>
        </w:rPr>
        <w:t>小平干部学院单位</w:t>
      </w:r>
      <w:r>
        <w:rPr>
          <w:rFonts w:hint="eastAsia" w:ascii="方正小标宋简体" w:hAnsi="宋体" w:eastAsia="方正小标宋简体"/>
          <w:color w:val="000000"/>
          <w:sz w:val="52"/>
          <w:szCs w:val="52"/>
        </w:rPr>
        <w:t>决算</w:t>
      </w:r>
      <w:bookmarkEnd w:id="6"/>
      <w:bookmarkEnd w:id="7"/>
      <w:bookmarkEnd w:id="8"/>
      <w:bookmarkEnd w:id="9"/>
      <w:bookmarkEnd w:id="10"/>
      <w:bookmarkEnd w:id="11"/>
      <w:r>
        <w:rPr>
          <w:rFonts w:hint="eastAsia" w:ascii="方正小标宋简体" w:hAnsi="宋体" w:eastAsia="方正小标宋简体"/>
          <w:color w:val="000000"/>
          <w:sz w:val="52"/>
          <w:szCs w:val="5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rPr>
          <w:rFonts w:hint="eastAsia"/>
          <w:highlight w:val="none"/>
        </w:rPr>
      </w:pPr>
      <w:r>
        <w:rPr>
          <w:rFonts w:hint="eastAsia"/>
          <w:highlight w:val="none"/>
        </w:rPr>
        <w:t>公开时间：202</w:t>
      </w:r>
      <w:r>
        <w:rPr>
          <w:rFonts w:hint="eastAsia"/>
          <w:highlight w:val="none"/>
          <w:lang w:val="en-US" w:eastAsia="zh-CN"/>
        </w:rPr>
        <w:t>2</w:t>
      </w:r>
      <w:r>
        <w:rPr>
          <w:rFonts w:hint="eastAsia"/>
          <w:highlight w:val="none"/>
        </w:rPr>
        <w:t>年</w:t>
      </w:r>
      <w:r>
        <w:rPr>
          <w:rFonts w:hint="eastAsia"/>
          <w:highlight w:val="none"/>
          <w:lang w:val="en-US" w:eastAsia="zh-CN"/>
        </w:rPr>
        <w:t>8</w:t>
      </w:r>
      <w:r>
        <w:rPr>
          <w:rFonts w:hint="eastAsia"/>
          <w:highlight w:val="none"/>
        </w:rPr>
        <w:t>月</w:t>
      </w:r>
      <w:r>
        <w:rPr>
          <w:rFonts w:hint="eastAsia"/>
          <w:highlight w:val="none"/>
          <w:lang w:val="en-US" w:eastAsia="zh-CN"/>
        </w:rPr>
        <w:t>8</w:t>
      </w:r>
      <w:r>
        <w:rPr>
          <w:rFonts w:hint="eastAsia"/>
          <w:highlight w:val="none"/>
        </w:rPr>
        <w:t>日</w:t>
      </w:r>
    </w:p>
    <w:sdt>
      <w:sdtPr>
        <w:rPr>
          <w:rFonts w:ascii="宋体" w:hAnsi="宋体" w:eastAsia="宋体" w:cs="Times New Roman"/>
          <w:kern w:val="2"/>
          <w:sz w:val="21"/>
          <w:szCs w:val="24"/>
          <w:lang w:val="en-US" w:eastAsia="zh-CN" w:bidi="ar-SA"/>
        </w:rPr>
        <w:id w:val="570992755"/>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12" w:name="_Toc1785468395_WPSOffice_Type3"/>
          <w:r>
            <w:rPr>
              <w:rFonts w:ascii="宋体" w:hAnsi="宋体" w:eastAsia="宋体"/>
              <w:sz w:val="21"/>
            </w:rPr>
            <w:t>目录</w:t>
          </w:r>
        </w:p>
        <w:p>
          <w:pPr>
            <w:pStyle w:val="31"/>
            <w:tabs>
              <w:tab w:val="right" w:leader="dot" w:pos="8306"/>
            </w:tabs>
          </w:pPr>
          <w:r>
            <w:fldChar w:fldCharType="begin"/>
          </w:r>
          <w:r>
            <w:instrText xml:space="preserve"> HYPERLINK \l _Toc496513030_WPSOffice_Level1 </w:instrText>
          </w:r>
          <w:r>
            <w:fldChar w:fldCharType="separate"/>
          </w:r>
          <w:sdt>
            <w:sdtPr>
              <w:rPr>
                <w:rFonts w:ascii="Times New Roman" w:hAnsi="Times New Roman" w:eastAsia="宋体" w:cs="Times New Roman"/>
                <w:kern w:val="2"/>
                <w:sz w:val="21"/>
                <w:szCs w:val="24"/>
                <w:lang w:val="en-US" w:eastAsia="zh-CN" w:bidi="ar-SA"/>
              </w:rPr>
              <w:id w:val="570992755"/>
              <w:placeholder>
                <w:docPart w:val="{f89e4749-dbbf-4409-85c7-5588a8fe6cbc}"/>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第一部分 单位概况</w:t>
              </w:r>
            </w:sdtContent>
          </w:sdt>
          <w:r>
            <w:tab/>
          </w:r>
          <w:bookmarkStart w:id="13" w:name="_Toc496513030_WPSOffice_Level1Page"/>
          <w:r>
            <w:t>5</w:t>
          </w:r>
          <w:bookmarkEnd w:id="13"/>
          <w:r>
            <w:fldChar w:fldCharType="end"/>
          </w:r>
        </w:p>
        <w:p>
          <w:pPr>
            <w:pStyle w:val="32"/>
            <w:tabs>
              <w:tab w:val="right" w:leader="dot" w:pos="8306"/>
            </w:tabs>
          </w:pPr>
          <w:r>
            <w:fldChar w:fldCharType="begin"/>
          </w:r>
          <w:r>
            <w:instrText xml:space="preserve"> HYPERLINK \l _Toc1785468395_WPSOffice_Level2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65fc37ae-debd-473b-a211-fecd6ac4ad86}"/>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一、基本职能及主要工作</w:t>
              </w:r>
            </w:sdtContent>
          </w:sdt>
          <w:r>
            <w:tab/>
          </w:r>
          <w:bookmarkStart w:id="14" w:name="_Toc1785468395_WPSOffice_Level2Page"/>
          <w:r>
            <w:t>5</w:t>
          </w:r>
          <w:bookmarkEnd w:id="14"/>
          <w:r>
            <w:fldChar w:fldCharType="end"/>
          </w:r>
        </w:p>
        <w:p>
          <w:pPr>
            <w:pStyle w:val="33"/>
            <w:tabs>
              <w:tab w:val="right" w:leader="dot" w:pos="8306"/>
            </w:tabs>
          </w:pPr>
          <w:r>
            <w:fldChar w:fldCharType="begin"/>
          </w:r>
          <w:r>
            <w:instrText xml:space="preserve"> HYPERLINK \l _Toc1785468395_WPSOffice_Level3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72c7ef0a-fd65-41fe-bc33-95a03aa8098b}"/>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（一）主要职能。</w:t>
              </w:r>
            </w:sdtContent>
          </w:sdt>
          <w:r>
            <w:tab/>
          </w:r>
          <w:bookmarkStart w:id="15" w:name="_Toc1785468395_WPSOffice_Level3Page"/>
          <w:r>
            <w:t>5</w:t>
          </w:r>
          <w:bookmarkEnd w:id="15"/>
          <w:r>
            <w:fldChar w:fldCharType="end"/>
          </w:r>
        </w:p>
        <w:p>
          <w:pPr>
            <w:pStyle w:val="33"/>
            <w:tabs>
              <w:tab w:val="right" w:leader="dot" w:pos="8306"/>
            </w:tabs>
          </w:pPr>
          <w:r>
            <w:fldChar w:fldCharType="begin"/>
          </w:r>
          <w:r>
            <w:instrText xml:space="preserve"> HYPERLINK \l _Toc496513030_WPSOffice_Level3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533b63e0-f233-46ae-a4e2-2ee5e55adbcd}"/>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w:t>
              </w:r>
              <w:r>
                <w:rPr>
                  <w:rFonts w:ascii="仿宋" w:hAnsi="仿宋" w:eastAsia="仿宋" w:cs="Times New Roman"/>
                </w:rPr>
                <w:t>20</w:t>
              </w:r>
              <w:r>
                <w:rPr>
                  <w:rFonts w:hint="eastAsia" w:ascii="仿宋" w:hAnsi="仿宋" w:eastAsia="仿宋" w:cs="Times New Roman"/>
                </w:rPr>
                <w:t>21年重点工作完成情况。</w:t>
              </w:r>
            </w:sdtContent>
          </w:sdt>
          <w:r>
            <w:tab/>
          </w:r>
          <w:bookmarkStart w:id="16" w:name="_Toc496513030_WPSOffice_Level3Page"/>
          <w:r>
            <w:t>5</w:t>
          </w:r>
          <w:bookmarkEnd w:id="16"/>
          <w:r>
            <w:fldChar w:fldCharType="end"/>
          </w:r>
        </w:p>
        <w:p>
          <w:pPr>
            <w:pStyle w:val="32"/>
            <w:tabs>
              <w:tab w:val="right" w:leader="dot" w:pos="8306"/>
            </w:tabs>
          </w:pPr>
          <w:r>
            <w:fldChar w:fldCharType="begin"/>
          </w:r>
          <w:r>
            <w:instrText xml:space="preserve"> HYPERLINK \l _Toc496513030_WPSOffice_Level2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d2ed1fd1-b34b-41e6-ba50-82a326187c3e}"/>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二、 机构设置</w:t>
              </w:r>
            </w:sdtContent>
          </w:sdt>
          <w:r>
            <w:tab/>
          </w:r>
          <w:bookmarkStart w:id="17" w:name="_Toc496513030_WPSOffice_Level2Page"/>
          <w:r>
            <w:t>6</w:t>
          </w:r>
          <w:bookmarkEnd w:id="17"/>
          <w:r>
            <w:fldChar w:fldCharType="end"/>
          </w:r>
        </w:p>
        <w:p>
          <w:pPr>
            <w:pStyle w:val="31"/>
            <w:tabs>
              <w:tab w:val="right" w:leader="dot" w:pos="8306"/>
            </w:tabs>
          </w:pPr>
          <w:r>
            <w:fldChar w:fldCharType="begin"/>
          </w:r>
          <w:r>
            <w:instrText xml:space="preserve"> HYPERLINK \l _Toc164334734_WPSOffice_Level1 </w:instrText>
          </w:r>
          <w:r>
            <w:fldChar w:fldCharType="separate"/>
          </w:r>
          <w:sdt>
            <w:sdtPr>
              <w:rPr>
                <w:rFonts w:ascii="Times New Roman" w:hAnsi="Times New Roman" w:eastAsia="宋体" w:cs="Times New Roman"/>
                <w:kern w:val="2"/>
                <w:sz w:val="21"/>
                <w:szCs w:val="24"/>
                <w:lang w:val="en-US" w:eastAsia="zh-CN" w:bidi="ar-SA"/>
              </w:rPr>
              <w:id w:val="570992755"/>
              <w:placeholder>
                <w:docPart w:val="{2a458737-03a6-45e1-a38e-9fc9847a965e}"/>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第二部分 2021年度部门决算情况说明</w:t>
              </w:r>
            </w:sdtContent>
          </w:sdt>
          <w:r>
            <w:tab/>
          </w:r>
          <w:bookmarkStart w:id="18" w:name="_Toc164334734_WPSOffice_Level1Page"/>
          <w:r>
            <w:t>8</w:t>
          </w:r>
          <w:bookmarkEnd w:id="18"/>
          <w:r>
            <w:fldChar w:fldCharType="end"/>
          </w:r>
        </w:p>
        <w:p>
          <w:pPr>
            <w:pStyle w:val="32"/>
            <w:tabs>
              <w:tab w:val="right" w:leader="dot" w:pos="8306"/>
            </w:tabs>
          </w:pPr>
          <w:r>
            <w:fldChar w:fldCharType="begin"/>
          </w:r>
          <w:r>
            <w:instrText xml:space="preserve"> HYPERLINK \l _Toc164334734_WPSOffice_Level2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60b3d6f5-b419-4bfa-b4d2-1f2c2c341436}"/>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一、 </w:t>
              </w:r>
              <w:r>
                <w:rPr>
                  <w:rFonts w:hint="eastAsia" w:ascii="黑体" w:hAnsi="黑体" w:eastAsia="黑体" w:cs="Times New Roman"/>
                </w:rPr>
                <w:t>收</w:t>
              </w:r>
              <w:r>
                <w:rPr>
                  <w:rFonts w:hint="eastAsia" w:ascii="黑体" w:hAnsi="黑体" w:eastAsia="黑体" w:cstheme="majorBidi"/>
                </w:rPr>
                <w:t>入支出决算总体情况说明</w:t>
              </w:r>
            </w:sdtContent>
          </w:sdt>
          <w:r>
            <w:tab/>
          </w:r>
          <w:bookmarkStart w:id="19" w:name="_Toc164334734_WPSOffice_Level2Page"/>
          <w:r>
            <w:t>8</w:t>
          </w:r>
          <w:bookmarkEnd w:id="19"/>
          <w:r>
            <w:fldChar w:fldCharType="end"/>
          </w:r>
        </w:p>
        <w:p>
          <w:pPr>
            <w:pStyle w:val="32"/>
            <w:tabs>
              <w:tab w:val="right" w:leader="dot" w:pos="8306"/>
            </w:tabs>
          </w:pPr>
          <w:r>
            <w:fldChar w:fldCharType="begin"/>
          </w:r>
          <w:r>
            <w:instrText xml:space="preserve"> HYPERLINK \l _Toc1902524914_WPSOffice_Level2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890f0d8c-96ac-4531-8bf6-bf003f5b7670}"/>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二、 </w:t>
              </w:r>
              <w:r>
                <w:rPr>
                  <w:rFonts w:hint="eastAsia" w:ascii="黑体" w:hAnsi="黑体" w:eastAsia="黑体" w:cs="Times New Roman"/>
                </w:rPr>
                <w:t>收</w:t>
              </w:r>
              <w:r>
                <w:rPr>
                  <w:rFonts w:hint="eastAsia" w:ascii="黑体" w:hAnsi="黑体" w:eastAsia="黑体" w:cstheme="majorBidi"/>
                </w:rPr>
                <w:t>入决算情况说明</w:t>
              </w:r>
            </w:sdtContent>
          </w:sdt>
          <w:r>
            <w:tab/>
          </w:r>
          <w:bookmarkStart w:id="20" w:name="_Toc1902524914_WPSOffice_Level2Page"/>
          <w:r>
            <w:t>8</w:t>
          </w:r>
          <w:bookmarkEnd w:id="20"/>
          <w:r>
            <w:fldChar w:fldCharType="end"/>
          </w:r>
        </w:p>
        <w:p>
          <w:pPr>
            <w:pStyle w:val="32"/>
            <w:tabs>
              <w:tab w:val="right" w:leader="dot" w:pos="8306"/>
            </w:tabs>
          </w:pPr>
          <w:r>
            <w:fldChar w:fldCharType="begin"/>
          </w:r>
          <w:r>
            <w:instrText xml:space="preserve"> HYPERLINK \l _Toc610118549_WPSOffice_Level2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6c0ce756-f2f1-46bb-b384-7a138af85e7d}"/>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三、 </w:t>
              </w:r>
              <w:r>
                <w:rPr>
                  <w:rFonts w:hint="eastAsia" w:ascii="黑体" w:hAnsi="黑体" w:eastAsia="黑体" w:cs="Times New Roman"/>
                </w:rPr>
                <w:t>支</w:t>
              </w:r>
              <w:r>
                <w:rPr>
                  <w:rFonts w:hint="eastAsia" w:ascii="黑体" w:hAnsi="黑体" w:eastAsia="黑体" w:cstheme="majorBidi"/>
                </w:rPr>
                <w:t>出决算情况说明</w:t>
              </w:r>
            </w:sdtContent>
          </w:sdt>
          <w:r>
            <w:tab/>
          </w:r>
          <w:bookmarkStart w:id="21" w:name="_Toc610118549_WPSOffice_Level2Page"/>
          <w:r>
            <w:t>9</w:t>
          </w:r>
          <w:bookmarkEnd w:id="21"/>
          <w:r>
            <w:fldChar w:fldCharType="end"/>
          </w:r>
        </w:p>
        <w:p>
          <w:pPr>
            <w:pStyle w:val="32"/>
            <w:tabs>
              <w:tab w:val="right" w:leader="dot" w:pos="8306"/>
            </w:tabs>
          </w:pPr>
          <w:r>
            <w:fldChar w:fldCharType="begin"/>
          </w:r>
          <w:r>
            <w:instrText xml:space="preserve"> HYPERLINK \l _Toc1107331205_WPSOffice_Level2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9c4a2605-76f2-4e65-9f6e-1f03f7abd990}"/>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四、财</w:t>
              </w:r>
              <w:r>
                <w:rPr>
                  <w:rFonts w:hint="eastAsia" w:ascii="黑体" w:hAnsi="黑体" w:eastAsia="黑体" w:cstheme="majorBidi"/>
                </w:rPr>
                <w:t>政拨款收入支出决算总体情况说明</w:t>
              </w:r>
            </w:sdtContent>
          </w:sdt>
          <w:r>
            <w:tab/>
          </w:r>
          <w:bookmarkStart w:id="22" w:name="_Toc1107331205_WPSOffice_Level2Page"/>
          <w:r>
            <w:t>10</w:t>
          </w:r>
          <w:bookmarkEnd w:id="22"/>
          <w:r>
            <w:fldChar w:fldCharType="end"/>
          </w:r>
        </w:p>
        <w:p>
          <w:pPr>
            <w:pStyle w:val="32"/>
            <w:tabs>
              <w:tab w:val="right" w:leader="dot" w:pos="8306"/>
            </w:tabs>
          </w:pPr>
          <w:r>
            <w:fldChar w:fldCharType="begin"/>
          </w:r>
          <w:r>
            <w:instrText xml:space="preserve"> HYPERLINK \l _Toc247599954_WPSOffice_Level2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400778a8-87d7-4faf-b570-bcb2d856cbbc}"/>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五、一</w:t>
              </w:r>
              <w:r>
                <w:rPr>
                  <w:rFonts w:hint="eastAsia" w:ascii="黑体" w:hAnsi="黑体" w:eastAsia="黑体" w:cstheme="majorBidi"/>
                </w:rPr>
                <w:t>般公共预算财政拨款支出决算情况说明</w:t>
              </w:r>
            </w:sdtContent>
          </w:sdt>
          <w:r>
            <w:tab/>
          </w:r>
          <w:bookmarkStart w:id="23" w:name="_Toc247599954_WPSOffice_Level2Page"/>
          <w:r>
            <w:t>10</w:t>
          </w:r>
          <w:bookmarkEnd w:id="23"/>
          <w:r>
            <w:fldChar w:fldCharType="end"/>
          </w:r>
        </w:p>
        <w:p>
          <w:pPr>
            <w:pStyle w:val="33"/>
            <w:tabs>
              <w:tab w:val="right" w:leader="dot" w:pos="8306"/>
            </w:tabs>
          </w:pPr>
          <w:r>
            <w:fldChar w:fldCharType="begin"/>
          </w:r>
          <w:r>
            <w:instrText xml:space="preserve"> HYPERLINK \l _Toc164334734_WPSOffice_Level3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0dbd971b-7058-46c8-a33e-5cad292b9621}"/>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（一）一般公共预算财政拨款支出决算总体情况</w:t>
              </w:r>
            </w:sdtContent>
          </w:sdt>
          <w:r>
            <w:tab/>
          </w:r>
          <w:bookmarkStart w:id="24" w:name="_Toc164334734_WPSOffice_Level3Page"/>
          <w:r>
            <w:t>10</w:t>
          </w:r>
          <w:bookmarkEnd w:id="24"/>
          <w:r>
            <w:fldChar w:fldCharType="end"/>
          </w:r>
        </w:p>
        <w:p>
          <w:pPr>
            <w:pStyle w:val="33"/>
            <w:tabs>
              <w:tab w:val="right" w:leader="dot" w:pos="8306"/>
            </w:tabs>
          </w:pPr>
          <w:r>
            <w:fldChar w:fldCharType="begin"/>
          </w:r>
          <w:r>
            <w:instrText xml:space="preserve"> HYPERLINK \l _Toc1902524914_WPSOffice_Level3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fbbcbaaa-0509-450e-ae7d-8aabeca58536}"/>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（二）一般公共预算财政拨款支出决算结构情况</w:t>
              </w:r>
            </w:sdtContent>
          </w:sdt>
          <w:r>
            <w:tab/>
          </w:r>
          <w:bookmarkStart w:id="25" w:name="_Toc1902524914_WPSOffice_Level3Page"/>
          <w:r>
            <w:t>11</w:t>
          </w:r>
          <w:bookmarkEnd w:id="25"/>
          <w:r>
            <w:fldChar w:fldCharType="end"/>
          </w:r>
        </w:p>
        <w:p>
          <w:pPr>
            <w:pStyle w:val="33"/>
            <w:tabs>
              <w:tab w:val="right" w:leader="dot" w:pos="8306"/>
            </w:tabs>
          </w:pPr>
          <w:r>
            <w:fldChar w:fldCharType="begin"/>
          </w:r>
          <w:r>
            <w:instrText xml:space="preserve"> HYPERLINK \l _Toc610118549_WPSOffice_Level3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2b400f12-44ed-40b7-8a8c-42f9476fa223}"/>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（三）一般公共预算财政拨款支出决算具体情况</w:t>
              </w:r>
            </w:sdtContent>
          </w:sdt>
          <w:r>
            <w:tab/>
          </w:r>
          <w:bookmarkStart w:id="26" w:name="_Toc610118549_WPSOffice_Level3Page"/>
          <w:r>
            <w:t>12</w:t>
          </w:r>
          <w:bookmarkEnd w:id="26"/>
          <w:r>
            <w:fldChar w:fldCharType="end"/>
          </w:r>
        </w:p>
        <w:p>
          <w:pPr>
            <w:pStyle w:val="32"/>
            <w:tabs>
              <w:tab w:val="right" w:leader="dot" w:pos="8306"/>
            </w:tabs>
          </w:pPr>
          <w:r>
            <w:fldChar w:fldCharType="begin"/>
          </w:r>
          <w:r>
            <w:instrText xml:space="preserve"> HYPERLINK \l _Toc490562064_WPSOffice_Level2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2daa5196-0390-4d5e-acf0-be92ff34427a}"/>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六、</w:t>
              </w:r>
              <w:r>
                <w:rPr>
                  <w:rFonts w:hint="eastAsia" w:ascii="黑体" w:hAnsi="黑体" w:eastAsia="黑体" w:cs="Times New Roman"/>
                </w:rPr>
                <w:t>一</w:t>
              </w:r>
              <w:r>
                <w:rPr>
                  <w:rFonts w:hint="eastAsia" w:ascii="黑体" w:hAnsi="黑体" w:eastAsia="黑体" w:cstheme="majorBidi"/>
                </w:rPr>
                <w:t>般公共预算财政拨款基本支出决算情况说明</w:t>
              </w:r>
            </w:sdtContent>
          </w:sdt>
          <w:r>
            <w:tab/>
          </w:r>
          <w:bookmarkStart w:id="27" w:name="_Toc490562064_WPSOffice_Level2Page"/>
          <w:r>
            <w:t>12</w:t>
          </w:r>
          <w:bookmarkEnd w:id="27"/>
          <w:r>
            <w:fldChar w:fldCharType="end"/>
          </w:r>
        </w:p>
        <w:p>
          <w:pPr>
            <w:pStyle w:val="32"/>
            <w:tabs>
              <w:tab w:val="right" w:leader="dot" w:pos="8306"/>
            </w:tabs>
          </w:pPr>
          <w:r>
            <w:fldChar w:fldCharType="begin"/>
          </w:r>
          <w:r>
            <w:instrText xml:space="preserve"> HYPERLINK \l _Toc355401019_WPSOffice_Level2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7f4bb5bd-73ae-4577-a8e6-a11a871c0e27}"/>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 xml:space="preserve">七、 </w:t>
              </w:r>
              <w:r>
                <w:rPr>
                  <w:rFonts w:hint="eastAsia" w:ascii="黑体" w:hAnsi="黑体" w:eastAsia="黑体" w:cs="Times New Roman"/>
                </w:rPr>
                <w:t>一</w:t>
              </w:r>
              <w:r>
                <w:rPr>
                  <w:rFonts w:hint="eastAsia" w:ascii="黑体" w:hAnsi="黑体" w:eastAsia="黑体" w:cstheme="majorBidi"/>
                </w:rPr>
                <w:t>般公共预算财政拨款项目支出决算情况说明</w:t>
              </w:r>
            </w:sdtContent>
          </w:sdt>
          <w:r>
            <w:tab/>
          </w:r>
          <w:bookmarkStart w:id="28" w:name="_Toc355401019_WPSOffice_Level2Page"/>
          <w:r>
            <w:t>13</w:t>
          </w:r>
          <w:bookmarkEnd w:id="28"/>
          <w:r>
            <w:fldChar w:fldCharType="end"/>
          </w:r>
        </w:p>
        <w:p>
          <w:pPr>
            <w:pStyle w:val="32"/>
            <w:tabs>
              <w:tab w:val="right" w:leader="dot" w:pos="8306"/>
            </w:tabs>
          </w:pPr>
          <w:r>
            <w:fldChar w:fldCharType="begin"/>
          </w:r>
          <w:r>
            <w:instrText xml:space="preserve"> HYPERLINK \l _Toc519372767_WPSOffice_Level2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b365cf99-0dce-4f47-a488-b5fffbcdcea2}"/>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八、</w:t>
              </w:r>
              <w:r>
                <w:rPr>
                  <w:rFonts w:hint="eastAsia" w:ascii="黑体" w:hAnsi="黑体" w:eastAsia="黑体" w:cstheme="majorBidi"/>
                </w:rPr>
                <w:t>“三公”经费财政拨款支出决算情况说明</w:t>
              </w:r>
            </w:sdtContent>
          </w:sdt>
          <w:r>
            <w:tab/>
          </w:r>
          <w:bookmarkStart w:id="29" w:name="_Toc519372767_WPSOffice_Level2Page"/>
          <w:r>
            <w:t>14</w:t>
          </w:r>
          <w:bookmarkEnd w:id="29"/>
          <w:r>
            <w:fldChar w:fldCharType="end"/>
          </w:r>
        </w:p>
        <w:p>
          <w:pPr>
            <w:pStyle w:val="33"/>
            <w:tabs>
              <w:tab w:val="right" w:leader="dot" w:pos="8306"/>
            </w:tabs>
          </w:pPr>
          <w:r>
            <w:fldChar w:fldCharType="begin"/>
          </w:r>
          <w:r>
            <w:instrText xml:space="preserve"> HYPERLINK \l _Toc1107331205_WPSOffice_Level3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3d36e605-4b76-45bb-aab5-f811ac3b48a2}"/>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（一）“三公”经费财政拨款支出决算总体情况说明</w:t>
              </w:r>
            </w:sdtContent>
          </w:sdt>
          <w:r>
            <w:tab/>
          </w:r>
          <w:bookmarkStart w:id="30" w:name="_Toc1107331205_WPSOffice_Level3Page"/>
          <w:r>
            <w:t>14</w:t>
          </w:r>
          <w:bookmarkEnd w:id="30"/>
          <w:r>
            <w:fldChar w:fldCharType="end"/>
          </w:r>
        </w:p>
        <w:p>
          <w:pPr>
            <w:pStyle w:val="32"/>
            <w:tabs>
              <w:tab w:val="right" w:leader="dot" w:pos="8306"/>
            </w:tabs>
          </w:pPr>
          <w:r>
            <w:fldChar w:fldCharType="begin"/>
          </w:r>
          <w:r>
            <w:instrText xml:space="preserve"> HYPERLINK \l _Toc2147436383_WPSOffice_Level2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6bc86675-734a-4ab7-8194-ed07667a79de}"/>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九、</w:t>
              </w:r>
              <w:r>
                <w:rPr>
                  <w:rFonts w:hint="eastAsia" w:ascii="黑体" w:hAnsi="黑体" w:eastAsia="黑体" w:cstheme="majorBidi"/>
                </w:rPr>
                <w:t>政府性基金预算支出决算情况说明</w:t>
              </w:r>
            </w:sdtContent>
          </w:sdt>
          <w:r>
            <w:tab/>
          </w:r>
          <w:bookmarkStart w:id="31" w:name="_Toc2147436383_WPSOffice_Level2Page"/>
          <w:r>
            <w:t>14</w:t>
          </w:r>
          <w:bookmarkEnd w:id="31"/>
          <w:r>
            <w:fldChar w:fldCharType="end"/>
          </w:r>
        </w:p>
        <w:p>
          <w:pPr>
            <w:pStyle w:val="32"/>
            <w:tabs>
              <w:tab w:val="right" w:leader="dot" w:pos="8306"/>
            </w:tabs>
          </w:pPr>
          <w:r>
            <w:fldChar w:fldCharType="begin"/>
          </w:r>
          <w:r>
            <w:instrText xml:space="preserve"> HYPERLINK \l _Toc298919235_WPSOffice_Level2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ac2aa76a-1cad-4b13-abbe-bf91ca1f92d0}"/>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十、国有资本经营预算支出决算情况说明</w:t>
              </w:r>
            </w:sdtContent>
          </w:sdt>
          <w:r>
            <w:tab/>
          </w:r>
          <w:bookmarkStart w:id="32" w:name="_Toc298919235_WPSOffice_Level2Page"/>
          <w:r>
            <w:t>14</w:t>
          </w:r>
          <w:bookmarkEnd w:id="32"/>
          <w:r>
            <w:fldChar w:fldCharType="end"/>
          </w:r>
        </w:p>
        <w:p>
          <w:pPr>
            <w:pStyle w:val="32"/>
            <w:tabs>
              <w:tab w:val="right" w:leader="dot" w:pos="8306"/>
            </w:tabs>
          </w:pPr>
          <w:r>
            <w:fldChar w:fldCharType="begin"/>
          </w:r>
          <w:r>
            <w:instrText xml:space="preserve"> HYPERLINK \l _Toc1069650118_WPSOffice_Level2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2f81bbfc-4b4e-43d4-ad4d-42ec4fa814d5}"/>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十一</w:t>
              </w:r>
              <w:r>
                <w:rPr>
                  <w:rFonts w:hint="eastAsia" w:ascii="黑体" w:hAnsi="黑体" w:eastAsia="黑体" w:cstheme="majorBidi"/>
                </w:rPr>
                <w:t>、其他重要事项的情况说明</w:t>
              </w:r>
            </w:sdtContent>
          </w:sdt>
          <w:r>
            <w:tab/>
          </w:r>
          <w:bookmarkStart w:id="33" w:name="_Toc1069650118_WPSOffice_Level2Page"/>
          <w:r>
            <w:t>14</w:t>
          </w:r>
          <w:bookmarkEnd w:id="33"/>
          <w:r>
            <w:fldChar w:fldCharType="end"/>
          </w:r>
        </w:p>
        <w:p>
          <w:pPr>
            <w:pStyle w:val="33"/>
            <w:tabs>
              <w:tab w:val="right" w:leader="dot" w:pos="8306"/>
            </w:tabs>
          </w:pPr>
          <w:r>
            <w:fldChar w:fldCharType="begin"/>
          </w:r>
          <w:r>
            <w:instrText xml:space="preserve"> HYPERLINK \l _Toc247599954_WPSOffice_Level3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52f3fdef-a484-40ac-b575-b8581f21d85f}"/>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（一）机关运行经费支出情况</w:t>
              </w:r>
            </w:sdtContent>
          </w:sdt>
          <w:r>
            <w:tab/>
          </w:r>
          <w:bookmarkStart w:id="34" w:name="_Toc247599954_WPSOffice_Level3Page"/>
          <w:r>
            <w:t>14</w:t>
          </w:r>
          <w:bookmarkEnd w:id="34"/>
          <w:r>
            <w:fldChar w:fldCharType="end"/>
          </w:r>
        </w:p>
        <w:p>
          <w:pPr>
            <w:pStyle w:val="33"/>
            <w:tabs>
              <w:tab w:val="right" w:leader="dot" w:pos="8306"/>
            </w:tabs>
          </w:pPr>
          <w:r>
            <w:fldChar w:fldCharType="begin"/>
          </w:r>
          <w:r>
            <w:instrText xml:space="preserve"> HYPERLINK \l _Toc490562064_WPSOffice_Level3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faf0fa8e-4029-461e-87c2-f238fd222ba1}"/>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（二）政府采购支出情况</w:t>
              </w:r>
            </w:sdtContent>
          </w:sdt>
          <w:r>
            <w:tab/>
          </w:r>
          <w:bookmarkStart w:id="35" w:name="_Toc490562064_WPSOffice_Level3Page"/>
          <w:r>
            <w:t>14</w:t>
          </w:r>
          <w:bookmarkEnd w:id="35"/>
          <w:r>
            <w:fldChar w:fldCharType="end"/>
          </w:r>
        </w:p>
        <w:p>
          <w:pPr>
            <w:pStyle w:val="33"/>
            <w:tabs>
              <w:tab w:val="right" w:leader="dot" w:pos="8306"/>
            </w:tabs>
          </w:pPr>
          <w:r>
            <w:fldChar w:fldCharType="begin"/>
          </w:r>
          <w:r>
            <w:instrText xml:space="preserve"> HYPERLINK \l _Toc355401019_WPSOffice_Level3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b7c12ce6-399a-4078-a65b-432d2528c4a5}"/>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（三）国有资产占有使用情况</w:t>
              </w:r>
            </w:sdtContent>
          </w:sdt>
          <w:r>
            <w:tab/>
          </w:r>
          <w:bookmarkStart w:id="36" w:name="_Toc355401019_WPSOffice_Level3Page"/>
          <w:r>
            <w:t>14</w:t>
          </w:r>
          <w:bookmarkEnd w:id="36"/>
          <w:r>
            <w:fldChar w:fldCharType="end"/>
          </w:r>
        </w:p>
        <w:p>
          <w:pPr>
            <w:pStyle w:val="33"/>
            <w:tabs>
              <w:tab w:val="right" w:leader="dot" w:pos="8306"/>
            </w:tabs>
          </w:pPr>
          <w:r>
            <w:fldChar w:fldCharType="begin"/>
          </w:r>
          <w:r>
            <w:instrText xml:space="preserve"> HYPERLINK \l _Toc519372767_WPSOffice_Level3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dc417348-5ede-4843-a032-3a1c706dfa6c}"/>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（四）预算绩效管理情况。</w:t>
              </w:r>
            </w:sdtContent>
          </w:sdt>
          <w:r>
            <w:tab/>
          </w:r>
          <w:bookmarkStart w:id="37" w:name="_Toc519372767_WPSOffice_Level3Page"/>
          <w:r>
            <w:t>14</w:t>
          </w:r>
          <w:bookmarkEnd w:id="37"/>
          <w:r>
            <w:fldChar w:fldCharType="end"/>
          </w:r>
        </w:p>
        <w:p>
          <w:pPr>
            <w:pStyle w:val="31"/>
            <w:tabs>
              <w:tab w:val="right" w:leader="dot" w:pos="8306"/>
            </w:tabs>
          </w:pPr>
          <w:r>
            <w:fldChar w:fldCharType="begin"/>
          </w:r>
          <w:r>
            <w:instrText xml:space="preserve"> HYPERLINK \l _Toc1902524914_WPSOffice_Level1 </w:instrText>
          </w:r>
          <w:r>
            <w:fldChar w:fldCharType="separate"/>
          </w:r>
          <w:sdt>
            <w:sdtPr>
              <w:rPr>
                <w:rFonts w:ascii="Times New Roman" w:hAnsi="Times New Roman" w:eastAsia="宋体" w:cs="Times New Roman"/>
                <w:kern w:val="2"/>
                <w:sz w:val="21"/>
                <w:szCs w:val="24"/>
                <w:lang w:val="en-US" w:eastAsia="zh-CN" w:bidi="ar-SA"/>
              </w:rPr>
              <w:id w:val="570992755"/>
              <w:placeholder>
                <w:docPart w:val="{8d8f1153-566d-450d-9650-7002b53f662a}"/>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第三部分 名词解释</w:t>
              </w:r>
            </w:sdtContent>
          </w:sdt>
          <w:r>
            <w:tab/>
          </w:r>
          <w:bookmarkStart w:id="38" w:name="_Toc1902524914_WPSOffice_Level1Page"/>
          <w:r>
            <w:t>23</w:t>
          </w:r>
          <w:bookmarkEnd w:id="38"/>
          <w:r>
            <w:fldChar w:fldCharType="end"/>
          </w:r>
        </w:p>
        <w:p>
          <w:pPr>
            <w:pStyle w:val="31"/>
            <w:tabs>
              <w:tab w:val="right" w:leader="dot" w:pos="8306"/>
            </w:tabs>
          </w:pPr>
          <w:r>
            <w:fldChar w:fldCharType="begin"/>
          </w:r>
          <w:r>
            <w:instrText xml:space="preserve"> HYPERLINK \l _Toc610118549_WPSOffice_Level1 </w:instrText>
          </w:r>
          <w:r>
            <w:fldChar w:fldCharType="separate"/>
          </w:r>
          <w:sdt>
            <w:sdtPr>
              <w:rPr>
                <w:rFonts w:ascii="Times New Roman" w:hAnsi="Times New Roman" w:eastAsia="宋体" w:cs="Times New Roman"/>
                <w:kern w:val="2"/>
                <w:sz w:val="21"/>
                <w:szCs w:val="24"/>
                <w:lang w:val="en-US" w:eastAsia="zh-CN" w:bidi="ar-SA"/>
              </w:rPr>
              <w:id w:val="570992755"/>
              <w:placeholder>
                <w:docPart w:val="{866f3298-e564-41f2-870d-ae1db0e6e644}"/>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第四部分 附件</w:t>
              </w:r>
            </w:sdtContent>
          </w:sdt>
          <w:r>
            <w:tab/>
          </w:r>
          <w:bookmarkStart w:id="39" w:name="_Toc610118549_WPSOffice_Level1Page"/>
          <w:r>
            <w:t>26</w:t>
          </w:r>
          <w:bookmarkEnd w:id="39"/>
          <w:r>
            <w:fldChar w:fldCharType="end"/>
          </w:r>
        </w:p>
        <w:p>
          <w:pPr>
            <w:pStyle w:val="32"/>
            <w:tabs>
              <w:tab w:val="right" w:leader="dot" w:pos="8306"/>
            </w:tabs>
          </w:pPr>
          <w:r>
            <w:fldChar w:fldCharType="begin"/>
          </w:r>
          <w:r>
            <w:instrText xml:space="preserve"> HYPERLINK \l _Toc1703542549_WPSOffice_Level2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4346b600-8f85-4e2b-b3f9-68d46be8095c}"/>
              </w:placeholder>
            </w:sdtPr>
            <w:sdtEndPr>
              <w:rPr>
                <w:rFonts w:ascii="Times New Roman" w:hAnsi="Times New Roman" w:eastAsia="宋体" w:cs="Times New Roman"/>
                <w:kern w:val="2"/>
                <w:sz w:val="21"/>
                <w:szCs w:val="24"/>
                <w:lang w:val="en-US" w:eastAsia="zh-CN" w:bidi="ar-SA"/>
              </w:rPr>
            </w:sdtEndPr>
            <w:sdtContent>
              <w:r>
                <w:rPr>
                  <w:rFonts w:ascii="方正小标宋简体" w:hAnsi="宋体" w:eastAsia="方正小标宋简体" w:cs="Times New Roman"/>
                </w:rPr>
                <w:t>20</w:t>
              </w:r>
              <w:r>
                <w:rPr>
                  <w:rFonts w:hint="eastAsia" w:ascii="方正小标宋简体" w:hAnsi="宋体" w:eastAsia="方正小标宋简体" w:cs="Times New Roman"/>
                </w:rPr>
                <w:t>21</w:t>
              </w:r>
              <w:r>
                <w:rPr>
                  <w:rFonts w:ascii="方正小标宋简体" w:hAnsi="宋体" w:eastAsia="方正小标宋简体" w:cs="Times New Roman"/>
                </w:rPr>
                <w:t>年</w:t>
              </w:r>
              <w:r>
                <w:rPr>
                  <w:rFonts w:hint="eastAsia" w:ascii="方正小标宋简体" w:hAnsi="宋体" w:eastAsia="方正小标宋简体" w:cs="Times New Roman"/>
                </w:rPr>
                <w:t>小平干部学院单位整体支出绩效评价</w:t>
              </w:r>
            </w:sdtContent>
          </w:sdt>
          <w:r>
            <w:tab/>
          </w:r>
          <w:bookmarkStart w:id="40" w:name="_Toc1703542549_WPSOffice_Level2Page"/>
          <w:r>
            <w:t>26</w:t>
          </w:r>
          <w:bookmarkEnd w:id="40"/>
          <w:r>
            <w:fldChar w:fldCharType="end"/>
          </w:r>
        </w:p>
        <w:p>
          <w:pPr>
            <w:pStyle w:val="32"/>
            <w:tabs>
              <w:tab w:val="right" w:leader="dot" w:pos="8306"/>
            </w:tabs>
          </w:pPr>
          <w:r>
            <w:fldChar w:fldCharType="begin"/>
          </w:r>
          <w:r>
            <w:instrText xml:space="preserve"> HYPERLINK \l _Toc2109017396_WPSOffice_Level2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9d8fb73c-beb6-49f0-ba61-a127d6912e57}"/>
              </w:placeholder>
            </w:sdtPr>
            <w:sdtEndPr>
              <w:rPr>
                <w:rFonts w:ascii="Times New Roman" w:hAnsi="Times New Roman" w:eastAsia="宋体" w:cs="Times New Roman"/>
                <w:kern w:val="2"/>
                <w:sz w:val="21"/>
                <w:szCs w:val="24"/>
                <w:lang w:val="en-US" w:eastAsia="zh-CN" w:bidi="ar-SA"/>
              </w:rPr>
            </w:sdtEndPr>
            <w:sdtContent>
              <w:r>
                <w:rPr>
                  <w:rFonts w:hint="eastAsia" w:ascii="方正小标宋简体" w:hAnsi="宋体" w:eastAsia="方正小标宋简体" w:cs="Times New Roman"/>
                </w:rPr>
                <w:t>报告</w:t>
              </w:r>
            </w:sdtContent>
          </w:sdt>
          <w:r>
            <w:tab/>
          </w:r>
          <w:bookmarkStart w:id="41" w:name="_Toc2109017396_WPSOffice_Level2Page"/>
          <w:r>
            <w:t>26</w:t>
          </w:r>
          <w:bookmarkEnd w:id="41"/>
          <w:r>
            <w:fldChar w:fldCharType="end"/>
          </w:r>
        </w:p>
        <w:p>
          <w:pPr>
            <w:pStyle w:val="32"/>
            <w:tabs>
              <w:tab w:val="right" w:leader="dot" w:pos="8306"/>
            </w:tabs>
          </w:pPr>
          <w:r>
            <w:fldChar w:fldCharType="begin"/>
          </w:r>
          <w:r>
            <w:instrText xml:space="preserve"> HYPERLINK \l _Toc1846234568_WPSOffice_Level2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3a7648fd-8983-42e0-9332-907fdae3d1ff}"/>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宋体" w:eastAsia="方正黑体_GBK" w:cs="宋体"/>
                </w:rPr>
                <w:t>一、部门（单位）概况</w:t>
              </w:r>
            </w:sdtContent>
          </w:sdt>
          <w:r>
            <w:tab/>
          </w:r>
          <w:bookmarkStart w:id="42" w:name="_Toc1846234568_WPSOffice_Level2Page"/>
          <w:r>
            <w:t>26</w:t>
          </w:r>
          <w:bookmarkEnd w:id="42"/>
          <w:r>
            <w:fldChar w:fldCharType="end"/>
          </w:r>
        </w:p>
        <w:p>
          <w:pPr>
            <w:pStyle w:val="33"/>
            <w:tabs>
              <w:tab w:val="right" w:leader="dot" w:pos="8306"/>
            </w:tabs>
          </w:pPr>
          <w:r>
            <w:fldChar w:fldCharType="begin"/>
          </w:r>
          <w:r>
            <w:instrText xml:space="preserve"> HYPERLINK \l _Toc2147436383_WPSOffice_Level3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d2f0751b-cc4f-4336-a30c-362d81850632}"/>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（一）机构组成。</w:t>
              </w:r>
            </w:sdtContent>
          </w:sdt>
          <w:r>
            <w:tab/>
          </w:r>
          <w:bookmarkStart w:id="43" w:name="_Toc2147436383_WPSOffice_Level3Page"/>
          <w:r>
            <w:t>26</w:t>
          </w:r>
          <w:bookmarkEnd w:id="43"/>
          <w:r>
            <w:fldChar w:fldCharType="end"/>
          </w:r>
        </w:p>
        <w:p>
          <w:pPr>
            <w:pStyle w:val="33"/>
            <w:tabs>
              <w:tab w:val="right" w:leader="dot" w:pos="8306"/>
            </w:tabs>
          </w:pPr>
          <w:r>
            <w:fldChar w:fldCharType="begin"/>
          </w:r>
          <w:r>
            <w:instrText xml:space="preserve"> HYPERLINK \l _Toc298919235_WPSOffice_Level3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98472ef1-0e68-4327-9818-41e6ab37ca3f}"/>
              </w:placeholder>
            </w:sdtPr>
            <w:sdtEndPr>
              <w:rPr>
                <w:rFonts w:ascii="Times New Roman" w:hAnsi="Times New Roman" w:eastAsia="宋体" w:cs="Times New Roman"/>
                <w:kern w:val="2"/>
                <w:sz w:val="21"/>
                <w:szCs w:val="24"/>
                <w:lang w:val="en-US" w:eastAsia="zh-CN" w:bidi="ar-SA"/>
              </w:rPr>
            </w:sdtEndPr>
            <w:sdtContent>
              <w:r>
                <w:rPr>
                  <w:rFonts w:hint="eastAsia" w:ascii="Times New Roman" w:hAnsi="Times New Roman" w:eastAsia="方正仿宋_GBK" w:cs="Times New Roman"/>
                </w:rPr>
                <w:t xml:space="preserve">（二） </w:t>
              </w:r>
              <w:r>
                <w:rPr>
                  <w:rFonts w:hint="default" w:ascii="Times New Roman" w:hAnsi="Times New Roman" w:eastAsia="方正仿宋_GBK" w:cs="Times New Roman"/>
                </w:rPr>
                <w:t>机构职能。</w:t>
              </w:r>
            </w:sdtContent>
          </w:sdt>
          <w:r>
            <w:tab/>
          </w:r>
          <w:bookmarkStart w:id="44" w:name="_Toc298919235_WPSOffice_Level3Page"/>
          <w:r>
            <w:t>26</w:t>
          </w:r>
          <w:bookmarkEnd w:id="44"/>
          <w:r>
            <w:fldChar w:fldCharType="end"/>
          </w:r>
        </w:p>
        <w:p>
          <w:pPr>
            <w:pStyle w:val="33"/>
            <w:tabs>
              <w:tab w:val="right" w:leader="dot" w:pos="8306"/>
            </w:tabs>
          </w:pPr>
          <w:r>
            <w:fldChar w:fldCharType="begin"/>
          </w:r>
          <w:r>
            <w:instrText xml:space="preserve"> HYPERLINK \l _Toc1069650118_WPSOffice_Level3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3b35e8ed-98cd-419e-9c12-dd9c1fd7d5ab}"/>
              </w:placeholder>
            </w:sdtPr>
            <w:sdtEndPr>
              <w:rPr>
                <w:rFonts w:ascii="Times New Roman" w:hAnsi="Times New Roman" w:eastAsia="宋体" w:cs="Times New Roman"/>
                <w:kern w:val="2"/>
                <w:sz w:val="21"/>
                <w:szCs w:val="24"/>
                <w:lang w:val="en-US" w:eastAsia="zh-CN" w:bidi="ar-SA"/>
              </w:rPr>
            </w:sdtEndPr>
            <w:sdtContent>
              <w:r>
                <w:rPr>
                  <w:rFonts w:hint="eastAsia" w:ascii="Times New Roman" w:hAnsi="Times New Roman" w:eastAsia="方正仿宋_GBK" w:cs="Times New Roman"/>
                </w:rPr>
                <w:t xml:space="preserve">（三） </w:t>
              </w:r>
              <w:r>
                <w:rPr>
                  <w:rFonts w:hint="default" w:ascii="Times New Roman" w:hAnsi="Times New Roman" w:eastAsia="方正仿宋_GBK" w:cs="Times New Roman"/>
                </w:rPr>
                <w:t>人员概况。</w:t>
              </w:r>
            </w:sdtContent>
          </w:sdt>
          <w:r>
            <w:tab/>
          </w:r>
          <w:bookmarkStart w:id="45" w:name="_Toc1069650118_WPSOffice_Level3Page"/>
          <w:r>
            <w:t>27</w:t>
          </w:r>
          <w:bookmarkEnd w:id="45"/>
          <w:r>
            <w:fldChar w:fldCharType="end"/>
          </w:r>
        </w:p>
        <w:p>
          <w:pPr>
            <w:pStyle w:val="32"/>
            <w:tabs>
              <w:tab w:val="right" w:leader="dot" w:pos="8306"/>
            </w:tabs>
          </w:pPr>
          <w:r>
            <w:fldChar w:fldCharType="begin"/>
          </w:r>
          <w:r>
            <w:instrText xml:space="preserve"> HYPERLINK \l _Toc2121679929_WPSOffice_Level2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6ef05ccf-c1de-44eb-8729-670b6c62f098}"/>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黑体_GBK" w:cs="Times New Roman"/>
                </w:rPr>
                <w:t>二、部门财政资金收支情况</w:t>
              </w:r>
            </w:sdtContent>
          </w:sdt>
          <w:r>
            <w:tab/>
          </w:r>
          <w:bookmarkStart w:id="46" w:name="_Toc2121679929_WPSOffice_Level2Page"/>
          <w:r>
            <w:t>27</w:t>
          </w:r>
          <w:bookmarkEnd w:id="46"/>
          <w:r>
            <w:fldChar w:fldCharType="end"/>
          </w:r>
        </w:p>
        <w:p>
          <w:pPr>
            <w:pStyle w:val="33"/>
            <w:tabs>
              <w:tab w:val="right" w:leader="dot" w:pos="8306"/>
            </w:tabs>
          </w:pPr>
          <w:r>
            <w:fldChar w:fldCharType="begin"/>
          </w:r>
          <w:r>
            <w:instrText xml:space="preserve"> HYPERLINK \l _Toc1703542549_WPSOffice_Level3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a50e4a89-38bb-49e3-887b-47c27afe24a3}"/>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（一）部门财政资金收入情况。</w:t>
              </w:r>
            </w:sdtContent>
          </w:sdt>
          <w:r>
            <w:tab/>
          </w:r>
          <w:bookmarkStart w:id="47" w:name="_Toc1703542549_WPSOffice_Level3Page"/>
          <w:r>
            <w:t>27</w:t>
          </w:r>
          <w:bookmarkEnd w:id="47"/>
          <w:r>
            <w:fldChar w:fldCharType="end"/>
          </w:r>
        </w:p>
        <w:p>
          <w:pPr>
            <w:pStyle w:val="33"/>
            <w:tabs>
              <w:tab w:val="right" w:leader="dot" w:pos="8306"/>
            </w:tabs>
          </w:pPr>
          <w:r>
            <w:fldChar w:fldCharType="begin"/>
          </w:r>
          <w:r>
            <w:instrText xml:space="preserve"> HYPERLINK \l _Toc2109017396_WPSOffice_Level3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f1d2ee67-fb84-44fa-8810-78b509be9365}"/>
              </w:placeholder>
            </w:sdtPr>
            <w:sdtEndPr>
              <w:rPr>
                <w:rFonts w:ascii="Times New Roman" w:hAnsi="Times New Roman" w:eastAsia="宋体" w:cs="Times New Roman"/>
                <w:kern w:val="2"/>
                <w:sz w:val="21"/>
                <w:szCs w:val="24"/>
                <w:lang w:val="en-US" w:eastAsia="zh-CN" w:bidi="ar-SA"/>
              </w:rPr>
            </w:sdtEndPr>
            <w:sdtContent>
              <w:r>
                <w:rPr>
                  <w:rFonts w:hint="eastAsia" w:ascii="Times New Roman" w:hAnsi="Times New Roman" w:eastAsia="方正仿宋_GBK" w:cs="Times New Roman"/>
                </w:rPr>
                <w:t xml:space="preserve">（二） </w:t>
              </w:r>
              <w:r>
                <w:rPr>
                  <w:rFonts w:hint="default" w:ascii="Times New Roman" w:hAnsi="Times New Roman" w:eastAsia="方正仿宋_GBK" w:cs="Times New Roman"/>
                </w:rPr>
                <w:t>部门财政资金支出情况。</w:t>
              </w:r>
            </w:sdtContent>
          </w:sdt>
          <w:r>
            <w:tab/>
          </w:r>
          <w:bookmarkStart w:id="48" w:name="_Toc2109017396_WPSOffice_Level3Page"/>
          <w:r>
            <w:t>27</w:t>
          </w:r>
          <w:bookmarkEnd w:id="48"/>
          <w:r>
            <w:fldChar w:fldCharType="end"/>
          </w:r>
        </w:p>
        <w:p>
          <w:pPr>
            <w:pStyle w:val="32"/>
            <w:tabs>
              <w:tab w:val="right" w:leader="dot" w:pos="8306"/>
            </w:tabs>
          </w:pPr>
          <w:r>
            <w:fldChar w:fldCharType="begin"/>
          </w:r>
          <w:r>
            <w:instrText xml:space="preserve"> HYPERLINK \l _Toc1699470987_WPSOffice_Level2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14d87dc4-dde8-4f8c-aa7f-3cc3b9fa9a5e}"/>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黑体_GBK" w:cs="Times New Roman"/>
                </w:rPr>
                <w:t>三、部门整体预算绩效管理情况</w:t>
              </w:r>
            </w:sdtContent>
          </w:sdt>
          <w:r>
            <w:tab/>
          </w:r>
          <w:bookmarkStart w:id="49" w:name="_Toc1699470987_WPSOffice_Level2Page"/>
          <w:r>
            <w:t>27</w:t>
          </w:r>
          <w:bookmarkEnd w:id="49"/>
          <w:r>
            <w:fldChar w:fldCharType="end"/>
          </w:r>
        </w:p>
        <w:p>
          <w:pPr>
            <w:pStyle w:val="33"/>
            <w:tabs>
              <w:tab w:val="right" w:leader="dot" w:pos="8306"/>
            </w:tabs>
          </w:pPr>
          <w:r>
            <w:fldChar w:fldCharType="begin"/>
          </w:r>
          <w:r>
            <w:instrText xml:space="preserve"> HYPERLINK \l _Toc1846234568_WPSOffice_Level3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ed8f1c57-b0eb-4ce8-86e4-36039054131f}"/>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（一）部门预算管理。</w:t>
              </w:r>
            </w:sdtContent>
          </w:sdt>
          <w:r>
            <w:tab/>
          </w:r>
          <w:bookmarkStart w:id="50" w:name="_Toc1846234568_WPSOffice_Level3Page"/>
          <w:r>
            <w:t>27</w:t>
          </w:r>
          <w:bookmarkEnd w:id="50"/>
          <w:r>
            <w:fldChar w:fldCharType="end"/>
          </w:r>
        </w:p>
        <w:p>
          <w:pPr>
            <w:pStyle w:val="33"/>
            <w:tabs>
              <w:tab w:val="right" w:leader="dot" w:pos="8306"/>
            </w:tabs>
          </w:pPr>
          <w:r>
            <w:fldChar w:fldCharType="begin"/>
          </w:r>
          <w:r>
            <w:instrText xml:space="preserve"> HYPERLINK \l _Toc2121679929_WPSOffice_Level3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d540509a-dc4a-4251-8360-f085e29bd41d}"/>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（二）项目预算管理。</w:t>
              </w:r>
            </w:sdtContent>
          </w:sdt>
          <w:r>
            <w:tab/>
          </w:r>
          <w:bookmarkStart w:id="51" w:name="_Toc2121679929_WPSOffice_Level3Page"/>
          <w:r>
            <w:t>28</w:t>
          </w:r>
          <w:bookmarkEnd w:id="51"/>
          <w:r>
            <w:fldChar w:fldCharType="end"/>
          </w:r>
        </w:p>
        <w:p>
          <w:pPr>
            <w:pStyle w:val="33"/>
            <w:tabs>
              <w:tab w:val="right" w:leader="dot" w:pos="8306"/>
            </w:tabs>
          </w:pPr>
          <w:r>
            <w:fldChar w:fldCharType="begin"/>
          </w:r>
          <w:r>
            <w:instrText xml:space="preserve"> HYPERLINK \l _Toc1699470987_WPSOffice_Level3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5de8a287-6a20-4956-aa2d-25848789cae9}"/>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（三）结果应用情况。</w:t>
              </w:r>
            </w:sdtContent>
          </w:sdt>
          <w:r>
            <w:tab/>
          </w:r>
          <w:bookmarkStart w:id="52" w:name="_Toc1699470987_WPSOffice_Level3Page"/>
          <w:r>
            <w:t>28</w:t>
          </w:r>
          <w:bookmarkEnd w:id="52"/>
          <w:r>
            <w:fldChar w:fldCharType="end"/>
          </w:r>
        </w:p>
        <w:p>
          <w:pPr>
            <w:pStyle w:val="32"/>
            <w:tabs>
              <w:tab w:val="right" w:leader="dot" w:pos="8306"/>
            </w:tabs>
          </w:pPr>
          <w:r>
            <w:fldChar w:fldCharType="begin"/>
          </w:r>
          <w:r>
            <w:instrText xml:space="preserve"> HYPERLINK \l _Toc1804015035_WPSOffice_Level2 </w:instrText>
          </w:r>
          <w:r>
            <w:fldChar w:fldCharType="separate"/>
          </w:r>
          <w:sdt>
            <w:sdtPr>
              <w:rPr>
                <w:rFonts w:ascii="Times New Roman" w:hAnsi="Times New Roman" w:eastAsia="宋体" w:cs="Times New Roman"/>
                <w:kern w:val="2"/>
                <w:sz w:val="21"/>
                <w:szCs w:val="24"/>
                <w:lang w:val="en-US" w:eastAsia="zh-CN" w:bidi="ar-SA"/>
              </w:rPr>
              <w:id w:val="570992755"/>
              <w:placeholder>
                <w:docPart w:val="{f3f3828d-dc99-4867-a42e-f1ee45c4f4ec}"/>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黑体_GBK" w:cs="Times New Roman"/>
                </w:rPr>
                <w:t>四、评价结论及建议</w:t>
              </w:r>
            </w:sdtContent>
          </w:sdt>
          <w:r>
            <w:tab/>
          </w:r>
          <w:bookmarkStart w:id="53" w:name="_Toc1804015035_WPSOffice_Level2Page"/>
          <w:r>
            <w:t>28</w:t>
          </w:r>
          <w:bookmarkEnd w:id="53"/>
          <w:r>
            <w:fldChar w:fldCharType="end"/>
          </w:r>
        </w:p>
        <w:p>
          <w:pPr>
            <w:pStyle w:val="33"/>
            <w:tabs>
              <w:tab w:val="right" w:leader="dot" w:pos="8306"/>
            </w:tabs>
          </w:pPr>
          <w:r>
            <w:fldChar w:fldCharType="begin"/>
          </w:r>
          <w:r>
            <w:instrText xml:space="preserve"> HYPERLINK \l _Toc1804015035_WPSOffice_Level3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9156de23-0a84-4537-8212-c2c528b61b8e}"/>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（一）评价结论。</w:t>
              </w:r>
            </w:sdtContent>
          </w:sdt>
          <w:r>
            <w:tab/>
          </w:r>
          <w:bookmarkStart w:id="54" w:name="_Toc1804015035_WPSOffice_Level3Page"/>
          <w:r>
            <w:t>28</w:t>
          </w:r>
          <w:bookmarkEnd w:id="54"/>
          <w:r>
            <w:fldChar w:fldCharType="end"/>
          </w:r>
        </w:p>
        <w:p>
          <w:pPr>
            <w:pStyle w:val="33"/>
            <w:tabs>
              <w:tab w:val="right" w:leader="dot" w:pos="8306"/>
            </w:tabs>
          </w:pPr>
          <w:r>
            <w:fldChar w:fldCharType="begin"/>
          </w:r>
          <w:r>
            <w:instrText xml:space="preserve"> HYPERLINK \l _Toc1771065438_WPSOffice_Level3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b7885756-64c3-40f8-b6dc-83ed7e3d30c5}"/>
              </w:placeholder>
            </w:sdtPr>
            <w:sdtEndPr>
              <w:rPr>
                <w:rFonts w:ascii="Times New Roman" w:hAnsi="Times New Roman" w:eastAsia="宋体" w:cs="Times New Roman"/>
                <w:kern w:val="2"/>
                <w:sz w:val="21"/>
                <w:szCs w:val="24"/>
                <w:lang w:val="en-US" w:eastAsia="zh-CN" w:bidi="ar-SA"/>
              </w:rPr>
            </w:sdtEndPr>
            <w:sdtContent>
              <w:r>
                <w:rPr>
                  <w:rFonts w:hint="eastAsia" w:ascii="Times New Roman" w:hAnsi="Times New Roman" w:eastAsia="方正仿宋_GBK" w:cs="Times New Roman"/>
                </w:rPr>
                <w:t xml:space="preserve">（三） </w:t>
              </w:r>
              <w:r>
                <w:rPr>
                  <w:rFonts w:hint="default" w:ascii="Times New Roman" w:hAnsi="Times New Roman" w:eastAsia="方正仿宋_GBK" w:cs="Times New Roman"/>
                </w:rPr>
                <w:t>存在问题。</w:t>
              </w:r>
            </w:sdtContent>
          </w:sdt>
          <w:r>
            <w:tab/>
          </w:r>
          <w:bookmarkStart w:id="55" w:name="_Toc1771065438_WPSOffice_Level3Page"/>
          <w:r>
            <w:t>28</w:t>
          </w:r>
          <w:bookmarkEnd w:id="55"/>
          <w:r>
            <w:fldChar w:fldCharType="end"/>
          </w:r>
        </w:p>
        <w:p>
          <w:pPr>
            <w:pStyle w:val="33"/>
            <w:tabs>
              <w:tab w:val="right" w:leader="dot" w:pos="8306"/>
            </w:tabs>
          </w:pPr>
          <w:r>
            <w:fldChar w:fldCharType="begin"/>
          </w:r>
          <w:r>
            <w:instrText xml:space="preserve"> HYPERLINK \l _Toc59595078_WPSOffice_Level3 </w:instrText>
          </w:r>
          <w:r>
            <w:fldChar w:fldCharType="separate"/>
          </w:r>
          <w:sdt>
            <w:sdtPr>
              <w:rPr>
                <w:rFonts w:ascii="Times New Roman" w:hAnsi="Times New Roman" w:eastAsia="宋体" w:cs="Times New Roman"/>
                <w:kern w:val="2"/>
                <w:sz w:val="21"/>
                <w:szCs w:val="24"/>
                <w:lang w:val="en-US" w:eastAsia="zh-CN" w:bidi="ar-SA"/>
              </w:rPr>
              <w:id w:val="570992755"/>
              <w:placeholder>
                <w:docPart w:val="{25c0002e-6953-47d6-89c0-635c658822d4}"/>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（三）改进建议。</w:t>
              </w:r>
            </w:sdtContent>
          </w:sdt>
          <w:r>
            <w:tab/>
          </w:r>
          <w:bookmarkStart w:id="56" w:name="_Toc59595078_WPSOffice_Level3Page"/>
          <w:r>
            <w:t>28</w:t>
          </w:r>
          <w:bookmarkEnd w:id="56"/>
          <w:r>
            <w:fldChar w:fldCharType="end"/>
          </w:r>
        </w:p>
        <w:p>
          <w:pPr>
            <w:pStyle w:val="31"/>
            <w:tabs>
              <w:tab w:val="right" w:leader="dot" w:pos="8306"/>
            </w:tabs>
          </w:pPr>
          <w:r>
            <w:fldChar w:fldCharType="begin"/>
          </w:r>
          <w:r>
            <w:instrText xml:space="preserve"> HYPERLINK \l _Toc1107331205_WPSOffice_Level1 </w:instrText>
          </w:r>
          <w:r>
            <w:fldChar w:fldCharType="separate"/>
          </w:r>
          <w:sdt>
            <w:sdtPr>
              <w:rPr>
                <w:rFonts w:ascii="Times New Roman" w:hAnsi="Times New Roman" w:eastAsia="宋体" w:cs="Times New Roman"/>
                <w:kern w:val="2"/>
                <w:sz w:val="21"/>
                <w:szCs w:val="24"/>
                <w:lang w:val="en-US" w:eastAsia="zh-CN" w:bidi="ar-SA"/>
              </w:rPr>
              <w:id w:val="570992755"/>
              <w:placeholder>
                <w:docPart w:val="{8af34218-aee7-4d8b-882e-6cb0264de2c5}"/>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第五部分 附表</w:t>
              </w:r>
            </w:sdtContent>
          </w:sdt>
          <w:r>
            <w:tab/>
          </w:r>
          <w:bookmarkStart w:id="57" w:name="_Toc1107331205_WPSOffice_Level1Page"/>
          <w:r>
            <w:t>31</w:t>
          </w:r>
          <w:bookmarkEnd w:id="57"/>
          <w:r>
            <w:fldChar w:fldCharType="end"/>
          </w:r>
        </w:p>
        <w:bookmarkEnd w:id="12"/>
        <w:p>
          <w:pPr>
            <w:pStyle w:val="32"/>
            <w:tabs>
              <w:tab w:val="right" w:leader="dot" w:pos="8306"/>
            </w:tabs>
          </w:pPr>
        </w:p>
      </w:sdtContent>
    </w:sdt>
    <w:p/>
    <w:p/>
    <w:p>
      <w:pPr>
        <w:widowControl/>
        <w:spacing w:line="440" w:lineRule="exact"/>
        <w:jc w:val="left"/>
        <w:rPr>
          <w:rFonts w:ascii="仿宋" w:hAnsi="仿宋" w:eastAsia="仿宋"/>
          <w:bCs/>
          <w:kern w:val="44"/>
          <w:sz w:val="24"/>
        </w:rPr>
      </w:pPr>
      <w:bookmarkStart w:id="58" w:name="_Toc15396599"/>
      <w:bookmarkStart w:id="59" w:name="_Toc15377196"/>
      <w:r>
        <w:rPr>
          <w:rFonts w:ascii="仿宋" w:hAnsi="仿宋" w:eastAsia="仿宋"/>
          <w:b/>
          <w:sz w:val="24"/>
        </w:rPr>
        <w:br w:type="page"/>
      </w:r>
    </w:p>
    <w:p>
      <w:pPr>
        <w:pStyle w:val="3"/>
        <w:jc w:val="center"/>
        <w:rPr>
          <w:rStyle w:val="25"/>
          <w:rFonts w:ascii="黑体" w:hAnsi="黑体" w:eastAsia="黑体"/>
          <w:b/>
          <w:bCs w:val="0"/>
        </w:rPr>
      </w:pPr>
      <w:bookmarkStart w:id="60" w:name="_Toc496513030_WPSOffice_Level1"/>
      <w:r>
        <w:rPr>
          <w:rFonts w:hint="eastAsia" w:ascii="黑体" w:hAnsi="黑体" w:eastAsia="黑体"/>
          <w:b w:val="0"/>
        </w:rPr>
        <w:t xml:space="preserve">第一部分 </w:t>
      </w:r>
      <w:r>
        <w:rPr>
          <w:rStyle w:val="25"/>
          <w:rFonts w:hint="eastAsia" w:ascii="黑体" w:hAnsi="黑体" w:eastAsia="黑体"/>
          <w:b w:val="0"/>
          <w:bCs w:val="0"/>
          <w:lang w:eastAsia="zh-CN"/>
        </w:rPr>
        <w:t>单位</w:t>
      </w:r>
      <w:r>
        <w:rPr>
          <w:rStyle w:val="25"/>
          <w:rFonts w:hint="eastAsia" w:ascii="黑体" w:hAnsi="黑体" w:eastAsia="黑体"/>
          <w:b w:val="0"/>
          <w:bCs w:val="0"/>
        </w:rPr>
        <w:t>概况</w:t>
      </w:r>
      <w:bookmarkEnd w:id="58"/>
      <w:bookmarkEnd w:id="59"/>
      <w:bookmarkEnd w:id="60"/>
    </w:p>
    <w:p>
      <w:pPr>
        <w:widowControl/>
        <w:jc w:val="left"/>
        <w:rPr>
          <w:rFonts w:ascii="黑体" w:eastAsia="黑体"/>
          <w:color w:val="000000"/>
          <w:sz w:val="32"/>
          <w:szCs w:val="32"/>
        </w:rPr>
      </w:pPr>
    </w:p>
    <w:p>
      <w:pPr>
        <w:pStyle w:val="4"/>
        <w:rPr>
          <w:rStyle w:val="26"/>
          <w:rFonts w:ascii="仿宋" w:hAnsi="仿宋" w:eastAsia="仿宋"/>
          <w:b w:val="0"/>
          <w:bCs w:val="0"/>
        </w:rPr>
      </w:pPr>
      <w:bookmarkStart w:id="61" w:name="_Toc15377197"/>
      <w:bookmarkStart w:id="62" w:name="_Toc1785468395_WPSOffice_Level2"/>
      <w:bookmarkStart w:id="63" w:name="_Toc15396600"/>
      <w:bookmarkStart w:id="64" w:name="_Toc15377198"/>
      <w:bookmarkStart w:id="65" w:name="_Toc15378445"/>
      <w:r>
        <w:rPr>
          <w:rFonts w:hint="eastAsia" w:ascii="黑体" w:hAnsi="黑体" w:eastAsia="黑体"/>
          <w:b w:val="0"/>
          <w:color w:val="000000"/>
        </w:rPr>
        <w:t>一、基</w:t>
      </w:r>
      <w:r>
        <w:rPr>
          <w:rStyle w:val="26"/>
          <w:rFonts w:hint="eastAsia" w:ascii="黑体" w:hAnsi="黑体" w:eastAsia="黑体"/>
          <w:b w:val="0"/>
          <w:bCs w:val="0"/>
        </w:rPr>
        <w:t>本职能及主要工作</w:t>
      </w:r>
      <w:bookmarkEnd w:id="61"/>
      <w:bookmarkEnd w:id="62"/>
      <w:bookmarkEnd w:id="63"/>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66" w:name="_Toc1785468395_WPSOffice_Level3"/>
      <w:r>
        <w:rPr>
          <w:rFonts w:hint="eastAsia" w:ascii="仿宋" w:hAnsi="仿宋" w:eastAsia="仿宋"/>
          <w:bCs/>
          <w:color w:val="000000"/>
          <w:sz w:val="32"/>
          <w:szCs w:val="32"/>
        </w:rPr>
        <w:t>（一）主要职能。</w:t>
      </w:r>
      <w:bookmarkEnd w:id="66"/>
    </w:p>
    <w:bookmarkEnd w:id="64"/>
    <w:bookmarkEnd w:id="65"/>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67" w:name="_Toc15378446"/>
      <w:bookmarkStart w:id="68" w:name="_Toc15377199"/>
      <w:r>
        <w:rPr>
          <w:rFonts w:hint="eastAsia" w:ascii="仿宋" w:hAnsi="仿宋" w:eastAsia="仿宋"/>
          <w:bCs/>
          <w:color w:val="000000"/>
          <w:sz w:val="32"/>
          <w:szCs w:val="32"/>
        </w:rPr>
        <w:t>(1)发挥好全国干部党性教育基地作用,面向国内国(境)外开展多种形式的委托培训和合作培训；(2)学习、宣传、研究中国特色社会主义理论体系,围绕重大理论、重大现实和相关学科前沿问题开展哲学社会科学研究,开展决策咨询；(3)充分利用以邓小平故里、华蓥山武装斗争为核心的优势红色资源,培育和打造全国党性救育品牌；(4)开展与国内国(境)外救育、培训、研究等机构和组织的交流与合作；(5)按照干部教育培训规划，有计划地培训、轮训党员领导干部、中青年后备干部和理论宣传骨干等群体；（6）接受上级党校和高校委托，开展在职研究生教育及其他上级交办的任务。</w:t>
      </w:r>
    </w:p>
    <w:bookmarkEnd w:id="67"/>
    <w:bookmarkEnd w:id="68"/>
    <w:p>
      <w:pPr>
        <w:pStyle w:val="6"/>
        <w:adjustRightInd w:val="0"/>
        <w:snapToGrid w:val="0"/>
        <w:spacing w:before="93" w:line="600" w:lineRule="exact"/>
        <w:ind w:firstLine="672" w:firstLineChars="210"/>
        <w:outlineLvl w:val="2"/>
        <w:rPr>
          <w:rFonts w:hint="eastAsia" w:ascii="仿宋" w:hAnsi="仿宋" w:eastAsia="仿宋"/>
          <w:bCs/>
          <w:color w:val="000000"/>
          <w:sz w:val="32"/>
          <w:szCs w:val="32"/>
          <w:highlight w:val="yellow"/>
        </w:rPr>
      </w:pPr>
      <w:bookmarkStart w:id="69" w:name="_Toc496513030_WPSOffice_Level3"/>
      <w:bookmarkStart w:id="70" w:name="_Toc15377204"/>
      <w:bookmarkStart w:id="71" w:name="_Toc15396602"/>
      <w:r>
        <w:rPr>
          <w:rFonts w:hint="eastAsia" w:ascii="仿宋" w:hAnsi="仿宋" w:eastAsia="仿宋"/>
          <w:bCs/>
          <w:color w:val="000000"/>
          <w:sz w:val="32"/>
          <w:szCs w:val="32"/>
          <w:highlight w:val="none"/>
        </w:rPr>
        <w:t>（二）</w:t>
      </w:r>
      <w:r>
        <w:rPr>
          <w:rFonts w:ascii="仿宋" w:hAnsi="仿宋" w:eastAsia="仿宋"/>
          <w:bCs/>
          <w:color w:val="000000"/>
          <w:sz w:val="32"/>
          <w:szCs w:val="32"/>
          <w:highlight w:val="none"/>
        </w:rPr>
        <w:t>20</w:t>
      </w:r>
      <w:r>
        <w:rPr>
          <w:rFonts w:hint="eastAsia" w:ascii="仿宋" w:hAnsi="仿宋" w:eastAsia="仿宋"/>
          <w:bCs/>
          <w:color w:val="000000"/>
          <w:sz w:val="32"/>
          <w:szCs w:val="32"/>
          <w:highlight w:val="none"/>
        </w:rPr>
        <w:t>2</w:t>
      </w:r>
      <w:r>
        <w:rPr>
          <w:rFonts w:hint="eastAsia" w:ascii="仿宋" w:hAnsi="仿宋" w:eastAsia="仿宋"/>
          <w:bCs/>
          <w:color w:val="000000"/>
          <w:sz w:val="32"/>
          <w:szCs w:val="32"/>
          <w:highlight w:val="none"/>
          <w:lang w:val="en-US" w:eastAsia="zh-CN"/>
        </w:rPr>
        <w:t>1</w:t>
      </w:r>
      <w:r>
        <w:rPr>
          <w:rFonts w:hint="eastAsia" w:ascii="仿宋" w:hAnsi="仿宋" w:eastAsia="仿宋"/>
          <w:bCs/>
          <w:color w:val="000000"/>
          <w:sz w:val="32"/>
          <w:szCs w:val="32"/>
          <w:highlight w:val="none"/>
        </w:rPr>
        <w:t>年重点工作完成情况。</w:t>
      </w:r>
      <w:bookmarkEnd w:id="69"/>
    </w:p>
    <w:p>
      <w:pPr>
        <w:spacing w:line="590" w:lineRule="exact"/>
        <w:ind w:firstLine="660" w:firstLineChars="200"/>
        <w:rPr>
          <w:rFonts w:eastAsia="方正仿宋_GBK"/>
          <w:sz w:val="33"/>
          <w:szCs w:val="33"/>
        </w:rPr>
      </w:pPr>
      <w:r>
        <w:rPr>
          <w:rFonts w:hint="eastAsia" w:eastAsia="方正仿宋_GBK" w:cs="宋体"/>
          <w:sz w:val="33"/>
          <w:szCs w:val="33"/>
        </w:rPr>
        <w:t>一是全力完成培训任务。</w:t>
      </w:r>
      <w:r>
        <w:rPr>
          <w:rFonts w:hint="eastAsia" w:eastAsia="方正仿宋_GBK" w:cs="方正仿宋_GBK"/>
          <w:sz w:val="33"/>
          <w:szCs w:val="33"/>
        </w:rPr>
        <w:t>克服疫情影响，及时复工复产</w:t>
      </w:r>
      <w:r>
        <w:rPr>
          <w:rFonts w:hint="eastAsia" w:eastAsia="方正仿宋_GBK" w:cs="宋体"/>
          <w:sz w:val="33"/>
          <w:szCs w:val="33"/>
        </w:rPr>
        <w:t>，仅用半年时间</w:t>
      </w:r>
      <w:r>
        <w:rPr>
          <w:rFonts w:hint="eastAsia" w:eastAsia="方正仿宋_GBK"/>
          <w:sz w:val="33"/>
          <w:szCs w:val="33"/>
        </w:rPr>
        <w:t>举办培训班271期、22678人。其中，市内班122期、13889人，市外省内班107期、6549人，省外班42期、2240人（含首次举办的澳门培训班1期、16人）。</w:t>
      </w:r>
      <w:r>
        <w:rPr>
          <w:rFonts w:eastAsia="方正仿宋_GBK"/>
          <w:sz w:val="33"/>
          <w:szCs w:val="33"/>
        </w:rPr>
        <w:t>学员满意率达9</w:t>
      </w:r>
      <w:r>
        <w:rPr>
          <w:rFonts w:hint="eastAsia" w:eastAsia="方正仿宋_GBK"/>
          <w:sz w:val="33"/>
          <w:szCs w:val="33"/>
        </w:rPr>
        <w:t>8.6</w:t>
      </w:r>
      <w:r>
        <w:rPr>
          <w:rFonts w:eastAsia="方正仿宋_GBK"/>
          <w:sz w:val="33"/>
          <w:szCs w:val="33"/>
        </w:rPr>
        <w:t>％</w:t>
      </w:r>
      <w:r>
        <w:rPr>
          <w:rFonts w:hint="eastAsia" w:eastAsia="方正仿宋_GBK"/>
          <w:sz w:val="33"/>
          <w:szCs w:val="33"/>
        </w:rPr>
        <w:t>。</w:t>
      </w:r>
    </w:p>
    <w:p>
      <w:pPr>
        <w:spacing w:line="590" w:lineRule="exact"/>
        <w:ind w:firstLine="660" w:firstLineChars="200"/>
        <w:rPr>
          <w:rFonts w:eastAsia="方正仿宋_GBK"/>
          <w:sz w:val="33"/>
          <w:szCs w:val="33"/>
        </w:rPr>
      </w:pPr>
      <w:r>
        <w:rPr>
          <w:rFonts w:hint="eastAsia" w:eastAsia="方正仿宋_GBK" w:cs="宋体"/>
          <w:sz w:val="33"/>
          <w:szCs w:val="33"/>
        </w:rPr>
        <w:t>二是扎实开展理论研究。</w:t>
      </w:r>
      <w:r>
        <w:rPr>
          <w:rFonts w:hint="eastAsia" w:eastAsia="方正仿宋_GBK"/>
          <w:sz w:val="33"/>
          <w:szCs w:val="33"/>
        </w:rPr>
        <w:t>全年立项课题44项，发表论文6篇，入选理论研讨会论文7篇，撰写决策咨询报告8篇，编发院（校）刊《广安论坛》4期。其中，1项课题获中央党校立项，2篇论文入选中央党校理论研讨会，1篇决策咨询报告获杨兴平副省长批转，4篇决策咨询报告获市委建勤书记肯定性批示，1本专著公开出版，均为院（校）首次突破。</w:t>
      </w:r>
    </w:p>
    <w:p>
      <w:pPr>
        <w:spacing w:line="590" w:lineRule="exact"/>
        <w:ind w:firstLine="660" w:firstLineChars="200"/>
        <w:rPr>
          <w:rFonts w:eastAsia="方正仿宋_GBK"/>
          <w:sz w:val="33"/>
          <w:szCs w:val="33"/>
        </w:rPr>
      </w:pPr>
      <w:r>
        <w:rPr>
          <w:rFonts w:hint="eastAsia" w:eastAsia="方正仿宋_GBK" w:cs="宋体"/>
          <w:sz w:val="33"/>
          <w:szCs w:val="33"/>
        </w:rPr>
        <w:t>三是持续强化推介宣传。与珠海市签订1亿元的“珠海大礼堂”捐建协议，与宜宾市达成“五粮液体育馆”捐建意向，衔接泸州老窖股份有限公司助力学院建设发展，</w:t>
      </w:r>
      <w:r>
        <w:rPr>
          <w:rFonts w:hint="eastAsia" w:eastAsia="方正仿宋_GBK"/>
          <w:kern w:val="0"/>
          <w:sz w:val="33"/>
          <w:szCs w:val="33"/>
        </w:rPr>
        <w:t>与全国各地的31个单位实现共建共享，全国律师行业协会等10多个省厅单位在学院挂牌建基地。对外发布</w:t>
      </w:r>
      <w:r>
        <w:rPr>
          <w:rFonts w:hint="eastAsia" w:eastAsia="方正仿宋_GBK"/>
          <w:sz w:val="33"/>
          <w:szCs w:val="33"/>
        </w:rPr>
        <w:t>视频动态53期、新闻181条，向全国各地寄送宣传资料2万余册。</w:t>
      </w:r>
    </w:p>
    <w:p>
      <w:pPr>
        <w:pStyle w:val="6"/>
        <w:adjustRightInd w:val="0"/>
        <w:snapToGrid w:val="0"/>
        <w:spacing w:before="93" w:line="600" w:lineRule="exact"/>
        <w:ind w:firstLine="692" w:firstLineChars="210"/>
        <w:outlineLvl w:val="2"/>
        <w:rPr>
          <w:rFonts w:hint="eastAsia" w:eastAsia="方正仿宋_GBK"/>
          <w:sz w:val="33"/>
          <w:szCs w:val="33"/>
        </w:rPr>
      </w:pPr>
      <w:r>
        <w:rPr>
          <w:rFonts w:hint="eastAsia" w:eastAsia="方正仿宋_GBK" w:cs="宋体"/>
          <w:kern w:val="0"/>
          <w:sz w:val="33"/>
          <w:szCs w:val="33"/>
        </w:rPr>
        <w:t>四是特色课开发量质齐升。</w:t>
      </w:r>
      <w:r>
        <w:rPr>
          <w:rFonts w:hint="eastAsia" w:eastAsia="方正仿宋_GBK" w:cs="宋体"/>
          <w:sz w:val="33"/>
          <w:szCs w:val="33"/>
        </w:rPr>
        <w:t>同步推进课程提升和研发工作,开发特色专题课；</w:t>
      </w:r>
      <w:r>
        <w:rPr>
          <w:rFonts w:hint="eastAsia" w:eastAsia="方正仿宋_GBK"/>
          <w:sz w:val="33"/>
          <w:szCs w:val="33"/>
        </w:rPr>
        <w:t>打造新的现场教学点，研发车载教学线路4条，形成了“红色教育、改革开放、乡村振兴、小平足迹”四大主干教学线路。</w:t>
      </w:r>
    </w:p>
    <w:p>
      <w:pPr>
        <w:pStyle w:val="4"/>
        <w:numPr>
          <w:ilvl w:val="0"/>
          <w:numId w:val="1"/>
        </w:numPr>
        <w:rPr>
          <w:rFonts w:hint="eastAsia" w:ascii="黑体" w:hAnsi="黑体" w:eastAsia="黑体"/>
          <w:b w:val="0"/>
          <w:color w:val="000000"/>
          <w:lang w:val="en-US" w:eastAsia="zh-CN"/>
        </w:rPr>
      </w:pPr>
      <w:bookmarkStart w:id="72" w:name="_Toc496513030_WPSOffice_Level2"/>
      <w:r>
        <w:rPr>
          <w:rFonts w:hint="eastAsia" w:ascii="黑体" w:hAnsi="黑体" w:eastAsia="黑体"/>
          <w:b w:val="0"/>
          <w:color w:val="000000"/>
          <w:lang w:val="en-US" w:eastAsia="zh-CN"/>
        </w:rPr>
        <w:t>机构设置</w:t>
      </w:r>
      <w:bookmarkEnd w:id="72"/>
    </w:p>
    <w:p>
      <w:pPr>
        <w:numPr>
          <w:ilvl w:val="0"/>
          <w:numId w:val="0"/>
        </w:numPr>
        <w:ind w:firstLine="420" w:firstLineChars="0"/>
        <w:rPr>
          <w:rFonts w:hint="default" w:ascii="仿宋_GB2312" w:hAnsi="Times New Roman" w:eastAsia="方正仿宋_GBK" w:cs="宋体"/>
          <w:kern w:val="0"/>
          <w:sz w:val="33"/>
          <w:szCs w:val="33"/>
          <w:lang w:val="en-US" w:eastAsia="zh-CN" w:bidi="ar-SA"/>
        </w:rPr>
      </w:pPr>
      <w:r>
        <w:rPr>
          <w:rFonts w:hint="eastAsia" w:ascii="仿宋_GB2312" w:hAnsi="Times New Roman" w:eastAsia="方正仿宋_GBK" w:cs="宋体"/>
          <w:kern w:val="0"/>
          <w:sz w:val="33"/>
          <w:szCs w:val="33"/>
          <w:lang w:val="en-US" w:eastAsia="zh-CN" w:bidi="ar-SA"/>
        </w:rPr>
        <w:t>小平干部学院属一级预算单位。内设12个部室（中心），主要包括：办公室（加挂人力资源部牌子）、教务部、培训部、马克思主义基础理论教研部（加挂习近平新时代中国特色社会主义思想研究中心牌子）、党史党建教研部（加挂党性教育研究中心牌子）、经济与管理教研部（加挂改革开放研究中心牌子）、财务部、科研部、对外合作部、信息技术部、后勤保障部、邓小平研究中心（加挂成渝地区双城经济圈建设研究中心牌子）。核定事业编制数58名（其中参公事业编制17名），另有人才专项事业编制20名。</w:t>
      </w:r>
    </w:p>
    <w:p>
      <w:pPr>
        <w:rPr>
          <w:rFonts w:hint="eastAsia" w:ascii="黑体" w:hAnsi="黑体" w:eastAsia="黑体"/>
          <w:b w:val="0"/>
          <w:color w:val="000000"/>
        </w:rPr>
      </w:pPr>
      <w:r>
        <w:rPr>
          <w:rFonts w:hint="eastAsia" w:ascii="黑体" w:hAnsi="黑体" w:eastAsia="黑体"/>
          <w:b w:val="0"/>
          <w:color w:val="000000"/>
        </w:rPr>
        <w:br w:type="page"/>
      </w:r>
    </w:p>
    <w:p>
      <w:pPr>
        <w:pStyle w:val="3"/>
        <w:ind w:right="440"/>
        <w:jc w:val="right"/>
        <w:rPr>
          <w:rStyle w:val="25"/>
          <w:rFonts w:ascii="黑体" w:hAnsi="黑体" w:eastAsia="黑体"/>
          <w:b w:val="0"/>
          <w:bCs w:val="0"/>
        </w:rPr>
      </w:pPr>
      <w:bookmarkStart w:id="73" w:name="_Toc164334734_WPSOffice_Level1"/>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202</w:t>
      </w:r>
      <w:r>
        <w:rPr>
          <w:rStyle w:val="25"/>
          <w:rFonts w:hint="eastAsia" w:ascii="黑体" w:hAnsi="黑体" w:eastAsia="黑体"/>
          <w:b w:val="0"/>
          <w:bCs w:val="0"/>
          <w:lang w:val="en-US" w:eastAsia="zh-CN"/>
        </w:rPr>
        <w:t>1</w:t>
      </w:r>
      <w:r>
        <w:rPr>
          <w:rStyle w:val="25"/>
          <w:rFonts w:hint="eastAsia" w:ascii="黑体" w:hAnsi="黑体" w:eastAsia="黑体"/>
          <w:b w:val="0"/>
          <w:bCs w:val="0"/>
        </w:rPr>
        <w:t>年度部门决算情况说明</w:t>
      </w:r>
      <w:bookmarkEnd w:id="70"/>
      <w:bookmarkEnd w:id="71"/>
      <w:bookmarkEnd w:id="73"/>
    </w:p>
    <w:p/>
    <w:p>
      <w:pPr>
        <w:pStyle w:val="24"/>
        <w:numPr>
          <w:ilvl w:val="0"/>
          <w:numId w:val="2"/>
        </w:numPr>
        <w:spacing w:line="600" w:lineRule="exact"/>
        <w:ind w:firstLineChars="0"/>
        <w:outlineLvl w:val="1"/>
        <w:rPr>
          <w:rStyle w:val="26"/>
          <w:rFonts w:ascii="黑体" w:hAnsi="黑体" w:eastAsia="黑体"/>
          <w:b w:val="0"/>
        </w:rPr>
      </w:pPr>
      <w:bookmarkStart w:id="74" w:name="_Toc15396603"/>
      <w:bookmarkStart w:id="75" w:name="_Toc164334734_WPSOffice_Level2"/>
      <w:bookmarkStart w:id="76" w:name="_Toc15377205"/>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74"/>
      <w:bookmarkEnd w:id="75"/>
      <w:bookmarkEnd w:id="76"/>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年度收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lang w:eastAsia="zh-CN"/>
        </w:rPr>
        <w:t>万元，支出总计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rPr>
        <w:t>。主要变动原因是学院该扩建工程</w:t>
      </w:r>
      <w:r>
        <w:rPr>
          <w:rFonts w:hint="eastAsia" w:ascii="仿宋" w:hAnsi="仿宋" w:eastAsia="仿宋"/>
          <w:color w:val="000000"/>
          <w:sz w:val="32"/>
          <w:szCs w:val="32"/>
          <w:lang w:eastAsia="zh-CN"/>
        </w:rPr>
        <w:t>进度款比</w:t>
      </w:r>
      <w:r>
        <w:rPr>
          <w:rFonts w:hint="eastAsia" w:ascii="仿宋" w:hAnsi="仿宋" w:eastAsia="仿宋"/>
          <w:color w:val="000000"/>
          <w:sz w:val="32"/>
          <w:szCs w:val="32"/>
          <w:lang w:val="en-US" w:eastAsia="zh-CN"/>
        </w:rPr>
        <w:t>2020年略少。</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ind w:firstLine="420" w:firstLineChars="200"/>
        <w:jc w:val="left"/>
        <w:rPr>
          <w:rFonts w:ascii="仿宋_GB2312" w:eastAsia="仿宋_GB2312"/>
          <w:color w:val="000000"/>
          <w:sz w:val="32"/>
          <w:szCs w:val="32"/>
        </w:rPr>
      </w:pPr>
      <w:r>
        <w:drawing>
          <wp:anchor distT="0" distB="0" distL="114300" distR="114300" simplePos="0" relativeHeight="251659264" behindDoc="0" locked="0" layoutInCell="1" allowOverlap="1">
            <wp:simplePos x="0" y="0"/>
            <wp:positionH relativeFrom="column">
              <wp:posOffset>299720</wp:posOffset>
            </wp:positionH>
            <wp:positionV relativeFrom="paragraph">
              <wp:posOffset>194945</wp:posOffset>
            </wp:positionV>
            <wp:extent cx="4867275" cy="2743200"/>
            <wp:effectExtent l="4445" t="4445" r="5080"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4"/>
        <w:numPr>
          <w:ilvl w:val="0"/>
          <w:numId w:val="2"/>
        </w:numPr>
        <w:spacing w:line="600" w:lineRule="exact"/>
        <w:ind w:firstLineChars="0"/>
        <w:outlineLvl w:val="1"/>
        <w:rPr>
          <w:rStyle w:val="26"/>
          <w:rFonts w:ascii="黑体" w:hAnsi="黑体" w:eastAsia="黑体"/>
          <w:b w:val="0"/>
        </w:rPr>
      </w:pPr>
      <w:bookmarkStart w:id="77" w:name="_Toc15396604"/>
      <w:bookmarkStart w:id="78" w:name="_Toc15377206"/>
      <w:bookmarkStart w:id="79" w:name="_Toc1902524914_WPSOffice_Level2"/>
      <w:r>
        <w:rPr>
          <w:rFonts w:hint="eastAsia" w:ascii="黑体" w:hAnsi="黑体" w:eastAsia="黑体"/>
          <w:color w:val="000000"/>
          <w:sz w:val="32"/>
          <w:szCs w:val="32"/>
        </w:rPr>
        <w:t>收</w:t>
      </w:r>
      <w:r>
        <w:rPr>
          <w:rStyle w:val="26"/>
          <w:rFonts w:hint="eastAsia" w:ascii="黑体" w:hAnsi="黑体" w:eastAsia="黑体"/>
          <w:b w:val="0"/>
        </w:rPr>
        <w:t>入决算情况说明</w:t>
      </w:r>
      <w:bookmarkEnd w:id="77"/>
      <w:bookmarkEnd w:id="78"/>
      <w:bookmarkEnd w:id="79"/>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420" w:firstLineChars="200"/>
        <w:rPr>
          <w:rFonts w:hint="eastAsia" w:ascii="仿宋" w:hAnsi="仿宋" w:eastAsia="仿宋"/>
          <w:color w:val="000000" w:themeColor="text1"/>
          <w:sz w:val="32"/>
          <w:szCs w:val="32"/>
          <w14:textFill>
            <w14:solidFill>
              <w14:schemeClr w14:val="tx1"/>
            </w14:solidFill>
          </w14:textFill>
        </w:rPr>
      </w:pPr>
      <w:r>
        <w:drawing>
          <wp:anchor distT="0" distB="0" distL="114300" distR="114300" simplePos="0" relativeHeight="251660288" behindDoc="0" locked="0" layoutInCell="1" allowOverlap="1">
            <wp:simplePos x="0" y="0"/>
            <wp:positionH relativeFrom="column">
              <wp:posOffset>90170</wp:posOffset>
            </wp:positionH>
            <wp:positionV relativeFrom="paragraph">
              <wp:posOffset>299720</wp:posOffset>
            </wp:positionV>
            <wp:extent cx="4572000" cy="2743200"/>
            <wp:effectExtent l="4445" t="4445" r="14605" b="14605"/>
            <wp:wrapSquare wrapText="bothSides"/>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pStyle w:val="24"/>
        <w:numPr>
          <w:ilvl w:val="0"/>
          <w:numId w:val="2"/>
        </w:numPr>
        <w:spacing w:line="600" w:lineRule="exact"/>
        <w:ind w:firstLineChars="0"/>
        <w:outlineLvl w:val="1"/>
        <w:rPr>
          <w:rStyle w:val="26"/>
          <w:rFonts w:ascii="黑体" w:hAnsi="黑体" w:eastAsia="黑体"/>
          <w:b w:val="0"/>
        </w:rPr>
      </w:pPr>
      <w:bookmarkStart w:id="80" w:name="_Toc15377207"/>
      <w:bookmarkStart w:id="81" w:name="_Toc610118549_WPSOffice_Level2"/>
      <w:bookmarkStart w:id="82" w:name="_Toc15396605"/>
      <w:r>
        <w:rPr>
          <w:rFonts w:hint="eastAsia" w:ascii="黑体" w:hAnsi="黑体" w:eastAsia="黑体"/>
          <w:color w:val="000000"/>
          <w:sz w:val="32"/>
          <w:szCs w:val="32"/>
        </w:rPr>
        <w:t>支</w:t>
      </w:r>
      <w:r>
        <w:rPr>
          <w:rStyle w:val="26"/>
          <w:rFonts w:hint="eastAsia" w:ascii="黑体" w:hAnsi="黑体" w:eastAsia="黑体"/>
          <w:b w:val="0"/>
        </w:rPr>
        <w:t>出决算情况说明</w:t>
      </w:r>
      <w:bookmarkEnd w:id="80"/>
      <w:bookmarkEnd w:id="81"/>
      <w:bookmarkEnd w:id="82"/>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420" w:firstLineChars="200"/>
        <w:rPr>
          <w:rFonts w:hint="eastAsia" w:ascii="仿宋" w:hAnsi="仿宋" w:eastAsia="仿宋"/>
          <w:color w:val="000000" w:themeColor="text1"/>
          <w:sz w:val="32"/>
          <w:szCs w:val="32"/>
          <w14:textFill>
            <w14:solidFill>
              <w14:schemeClr w14:val="tx1"/>
            </w14:solidFill>
          </w14:textFill>
        </w:rPr>
      </w:pPr>
      <w:r>
        <w:drawing>
          <wp:anchor distT="0" distB="0" distL="114300" distR="114300" simplePos="0" relativeHeight="251661312" behindDoc="0" locked="0" layoutInCell="1" allowOverlap="1">
            <wp:simplePos x="0" y="0"/>
            <wp:positionH relativeFrom="column">
              <wp:posOffset>-224155</wp:posOffset>
            </wp:positionH>
            <wp:positionV relativeFrom="paragraph">
              <wp:posOffset>362585</wp:posOffset>
            </wp:positionV>
            <wp:extent cx="4895215" cy="2075180"/>
            <wp:effectExtent l="4445" t="4445" r="15240" b="15875"/>
            <wp:wrapSquare wrapText="bothSides"/>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1"/>
        <w:rPr>
          <w:rStyle w:val="26"/>
          <w:rFonts w:ascii="黑体" w:hAnsi="黑体" w:eastAsia="黑体"/>
          <w:b w:val="0"/>
        </w:rPr>
      </w:pPr>
      <w:bookmarkStart w:id="83" w:name="_Toc15396606"/>
      <w:bookmarkStart w:id="84" w:name="_Toc15377208"/>
      <w:bookmarkStart w:id="85" w:name="_Toc1107331205_WPSOffice_Level2"/>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83"/>
      <w:bookmarkEnd w:id="84"/>
      <w:bookmarkEnd w:id="8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年财政拨款收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财政拨款</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年相比，财政拨款收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财政拨款</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减少</w:t>
      </w:r>
      <w:r>
        <w:rPr>
          <w:rFonts w:hint="eastAsia" w:ascii="仿宋" w:hAnsi="仿宋" w:eastAsia="仿宋"/>
          <w:color w:val="000000"/>
          <w:sz w:val="32"/>
          <w:szCs w:val="32"/>
          <w:lang w:val="en-US" w:eastAsia="zh-CN"/>
        </w:rPr>
        <w:t>572.95</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4.05</w:t>
      </w:r>
      <w:r>
        <w:rPr>
          <w:rFonts w:ascii="仿宋" w:hAnsi="仿宋" w:eastAsia="仿宋"/>
          <w:color w:val="000000"/>
          <w:sz w:val="32"/>
          <w:szCs w:val="32"/>
        </w:rPr>
        <w:t>%</w:t>
      </w:r>
      <w:r>
        <w:rPr>
          <w:rFonts w:hint="eastAsia" w:ascii="仿宋" w:hAnsi="仿宋" w:eastAsia="仿宋"/>
          <w:color w:val="000000"/>
          <w:sz w:val="32"/>
          <w:szCs w:val="32"/>
        </w:rPr>
        <w:t>。主要变动原因是学院该扩建工程</w:t>
      </w:r>
      <w:r>
        <w:rPr>
          <w:rFonts w:hint="eastAsia" w:ascii="仿宋" w:hAnsi="仿宋" w:eastAsia="仿宋"/>
          <w:color w:val="000000"/>
          <w:sz w:val="32"/>
          <w:szCs w:val="32"/>
          <w:lang w:eastAsia="zh-CN"/>
        </w:rPr>
        <w:t>进度款比</w:t>
      </w:r>
      <w:r>
        <w:rPr>
          <w:rFonts w:hint="eastAsia" w:ascii="仿宋" w:hAnsi="仿宋" w:eastAsia="仿宋"/>
          <w:color w:val="000000"/>
          <w:sz w:val="32"/>
          <w:szCs w:val="32"/>
          <w:lang w:val="en-US" w:eastAsia="zh-CN"/>
        </w:rPr>
        <w:t>2020年略少。</w:t>
      </w:r>
    </w:p>
    <w:p>
      <w:pPr>
        <w:spacing w:line="600" w:lineRule="exact"/>
        <w:ind w:firstLine="640" w:firstLineChars="200"/>
        <w:rPr>
          <w:rFonts w:ascii="仿宋" w:hAnsi="仿宋" w:eastAsia="仿宋"/>
          <w:b/>
          <w:color w:val="00B050"/>
          <w:sz w:val="32"/>
          <w:szCs w:val="32"/>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r>
        <w:drawing>
          <wp:anchor distT="0" distB="0" distL="114300" distR="114300" simplePos="0" relativeHeight="251662336" behindDoc="0" locked="0" layoutInCell="1" allowOverlap="1">
            <wp:simplePos x="0" y="0"/>
            <wp:positionH relativeFrom="column">
              <wp:posOffset>96520</wp:posOffset>
            </wp:positionH>
            <wp:positionV relativeFrom="paragraph">
              <wp:posOffset>242570</wp:posOffset>
            </wp:positionV>
            <wp:extent cx="5048250" cy="2743200"/>
            <wp:effectExtent l="4445" t="4445" r="14605" b="14605"/>
            <wp:wrapSquare wrapText="bothSides"/>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outlineLvl w:val="1"/>
        <w:rPr>
          <w:rStyle w:val="26"/>
          <w:rFonts w:ascii="黑体" w:hAnsi="黑体" w:eastAsia="黑体"/>
          <w:b w:val="0"/>
          <w:highlight w:val="none"/>
        </w:rPr>
      </w:pPr>
      <w:bookmarkStart w:id="86" w:name="_Toc247599954_WPSOffice_Level2"/>
      <w:bookmarkStart w:id="87" w:name="_Toc15377209"/>
      <w:bookmarkStart w:id="88" w:name="_Toc15396607"/>
      <w:r>
        <w:rPr>
          <w:rFonts w:hint="eastAsia" w:ascii="黑体" w:hAnsi="黑体" w:eastAsia="黑体"/>
          <w:color w:val="000000"/>
          <w:sz w:val="32"/>
          <w:szCs w:val="32"/>
          <w:highlight w:val="none"/>
        </w:rPr>
        <w:t>五、</w:t>
      </w:r>
      <w:r>
        <w:rPr>
          <w:rFonts w:hint="eastAsia" w:ascii="黑体" w:hAnsi="黑体" w:eastAsia="黑体"/>
          <w:b/>
          <w:color w:val="000000"/>
          <w:sz w:val="32"/>
          <w:szCs w:val="32"/>
          <w:highlight w:val="none"/>
        </w:rPr>
        <w:t>一</w:t>
      </w:r>
      <w:r>
        <w:rPr>
          <w:rStyle w:val="26"/>
          <w:rFonts w:hint="eastAsia" w:ascii="黑体" w:hAnsi="黑体" w:eastAsia="黑体"/>
          <w:b w:val="0"/>
          <w:highlight w:val="none"/>
        </w:rPr>
        <w:t>般公共预算财政拨款支出决算情况说明</w:t>
      </w:r>
      <w:bookmarkEnd w:id="86"/>
      <w:bookmarkEnd w:id="87"/>
      <w:bookmarkEnd w:id="88"/>
    </w:p>
    <w:p>
      <w:pPr>
        <w:spacing w:line="600" w:lineRule="exact"/>
        <w:ind w:firstLine="642" w:firstLineChars="200"/>
        <w:outlineLvl w:val="2"/>
        <w:rPr>
          <w:rFonts w:ascii="仿宋" w:hAnsi="仿宋" w:eastAsia="仿宋"/>
          <w:b/>
          <w:color w:val="000000"/>
          <w:sz w:val="32"/>
          <w:szCs w:val="32"/>
          <w:highlight w:val="none"/>
        </w:rPr>
      </w:pPr>
      <w:bookmarkStart w:id="89" w:name="_Toc164334734_WPSOffice_Level3"/>
      <w:bookmarkStart w:id="90" w:name="_Toc15377210"/>
      <w:r>
        <w:rPr>
          <w:rFonts w:hint="eastAsia" w:ascii="仿宋" w:hAnsi="仿宋" w:eastAsia="仿宋"/>
          <w:b/>
          <w:color w:val="000000"/>
          <w:sz w:val="32"/>
          <w:szCs w:val="32"/>
          <w:highlight w:val="none"/>
        </w:rPr>
        <w:t>（一）一般公共预算财政拨款支出决算总体情况</w:t>
      </w:r>
      <w:bookmarkEnd w:id="89"/>
      <w:bookmarkEnd w:id="90"/>
    </w:p>
    <w:p>
      <w:pPr>
        <w:spacing w:line="600" w:lineRule="exact"/>
        <w:ind w:firstLine="640" w:firstLineChars="200"/>
        <w:rPr>
          <w:rFonts w:hint="eastAsia" w:ascii="仿宋" w:hAnsi="仿宋" w:eastAsia="仿宋"/>
          <w:color w:val="000000"/>
          <w:sz w:val="32"/>
          <w:szCs w:val="32"/>
          <w:highlight w:val="none"/>
        </w:rPr>
      </w:pPr>
      <w:r>
        <w:rPr>
          <w:rFonts w:ascii="仿宋" w:hAnsi="仿宋" w:eastAsia="仿宋"/>
          <w:color w:val="000000"/>
          <w:sz w:val="32"/>
          <w:szCs w:val="32"/>
          <w:highlight w:val="none"/>
        </w:rPr>
        <w:t>20</w:t>
      </w:r>
      <w:r>
        <w:rPr>
          <w:rFonts w:hint="eastAsia" w:ascii="仿宋" w:hAnsi="仿宋" w:eastAsia="仿宋"/>
          <w:color w:val="000000"/>
          <w:sz w:val="32"/>
          <w:szCs w:val="32"/>
          <w:highlight w:val="none"/>
        </w:rPr>
        <w:t>2</w:t>
      </w:r>
      <w:r>
        <w:rPr>
          <w:rFonts w:hint="eastAsia" w:ascii="仿宋" w:hAnsi="仿宋" w:eastAsia="仿宋"/>
          <w:color w:val="000000"/>
          <w:sz w:val="32"/>
          <w:szCs w:val="32"/>
          <w:highlight w:val="none"/>
          <w:lang w:val="en-US" w:eastAsia="zh-CN"/>
        </w:rPr>
        <w:t>1</w:t>
      </w:r>
      <w:r>
        <w:rPr>
          <w:rFonts w:hint="eastAsia" w:ascii="仿宋" w:hAnsi="仿宋" w:eastAsia="仿宋"/>
          <w:color w:val="000000"/>
          <w:sz w:val="32"/>
          <w:szCs w:val="32"/>
          <w:highlight w:val="none"/>
        </w:rPr>
        <w:t>年一般公共预算财政拨款支出</w:t>
      </w:r>
      <w:r>
        <w:rPr>
          <w:rFonts w:hint="eastAsia" w:ascii="仿宋" w:hAnsi="仿宋" w:eastAsia="仿宋"/>
          <w:color w:val="000000"/>
          <w:sz w:val="32"/>
          <w:szCs w:val="32"/>
          <w:highlight w:val="none"/>
          <w:lang w:val="en-US" w:eastAsia="zh-CN"/>
        </w:rPr>
        <w:t>3483.07</w:t>
      </w:r>
      <w:r>
        <w:rPr>
          <w:rFonts w:hint="eastAsia" w:ascii="仿宋" w:hAnsi="仿宋" w:eastAsia="仿宋"/>
          <w:color w:val="000000"/>
          <w:sz w:val="32"/>
          <w:szCs w:val="32"/>
          <w:highlight w:val="none"/>
        </w:rPr>
        <w:t>万元，占本年支出合计的</w:t>
      </w:r>
      <w:r>
        <w:rPr>
          <w:rFonts w:hint="eastAsia" w:ascii="仿宋" w:hAnsi="仿宋" w:eastAsia="仿宋"/>
          <w:color w:val="000000"/>
          <w:sz w:val="32"/>
          <w:szCs w:val="32"/>
          <w:highlight w:val="none"/>
          <w:lang w:val="en-US" w:eastAsia="zh-CN"/>
        </w:rPr>
        <w:t>26</w:t>
      </w:r>
      <w:r>
        <w:rPr>
          <w:rFonts w:ascii="仿宋" w:hAnsi="仿宋" w:eastAsia="仿宋"/>
          <w:color w:val="000000"/>
          <w:sz w:val="32"/>
          <w:szCs w:val="32"/>
          <w:highlight w:val="none"/>
        </w:rPr>
        <w:t>%</w:t>
      </w:r>
      <w:r>
        <w:rPr>
          <w:rFonts w:hint="eastAsia" w:ascii="仿宋" w:hAnsi="仿宋" w:eastAsia="仿宋"/>
          <w:color w:val="000000"/>
          <w:sz w:val="32"/>
          <w:szCs w:val="32"/>
          <w:highlight w:val="none"/>
        </w:rPr>
        <w:t>。与</w:t>
      </w:r>
      <w:r>
        <w:rPr>
          <w:rFonts w:ascii="仿宋" w:hAnsi="仿宋" w:eastAsia="仿宋"/>
          <w:color w:val="000000"/>
          <w:sz w:val="32"/>
          <w:szCs w:val="32"/>
          <w:highlight w:val="none"/>
        </w:rPr>
        <w:t>20</w:t>
      </w:r>
      <w:r>
        <w:rPr>
          <w:rFonts w:hint="eastAsia" w:ascii="仿宋" w:hAnsi="仿宋" w:eastAsia="仿宋"/>
          <w:color w:val="000000"/>
          <w:sz w:val="32"/>
          <w:szCs w:val="32"/>
          <w:highlight w:val="none"/>
          <w:lang w:val="en-US" w:eastAsia="zh-CN"/>
        </w:rPr>
        <w:t>20</w:t>
      </w:r>
      <w:r>
        <w:rPr>
          <w:rFonts w:hint="eastAsia" w:ascii="仿宋" w:hAnsi="仿宋" w:eastAsia="仿宋"/>
          <w:color w:val="000000"/>
          <w:sz w:val="32"/>
          <w:szCs w:val="32"/>
          <w:highlight w:val="none"/>
        </w:rPr>
        <w:t>年相比，一般公共预算财政拨款增加</w:t>
      </w:r>
      <w:r>
        <w:rPr>
          <w:rFonts w:hint="eastAsia" w:ascii="仿宋" w:hAnsi="仿宋" w:eastAsia="仿宋"/>
          <w:color w:val="000000"/>
          <w:sz w:val="32"/>
          <w:szCs w:val="32"/>
          <w:highlight w:val="none"/>
          <w:lang w:val="en-US" w:eastAsia="zh-CN"/>
        </w:rPr>
        <w:t>1115.75</w:t>
      </w:r>
      <w:r>
        <w:rPr>
          <w:rFonts w:hint="eastAsia" w:ascii="仿宋" w:hAnsi="仿宋" w:eastAsia="仿宋"/>
          <w:color w:val="000000"/>
          <w:sz w:val="32"/>
          <w:szCs w:val="32"/>
          <w:highlight w:val="none"/>
        </w:rPr>
        <w:t>万元，增长</w:t>
      </w:r>
      <w:r>
        <w:rPr>
          <w:rFonts w:hint="eastAsia" w:ascii="仿宋" w:hAnsi="仿宋" w:eastAsia="仿宋"/>
          <w:color w:val="000000"/>
          <w:sz w:val="32"/>
          <w:szCs w:val="32"/>
          <w:highlight w:val="none"/>
          <w:lang w:val="en-US" w:eastAsia="zh-CN"/>
        </w:rPr>
        <w:t>47.13%</w:t>
      </w:r>
      <w:r>
        <w:rPr>
          <w:rFonts w:hint="eastAsia" w:ascii="仿宋" w:hAnsi="仿宋" w:eastAsia="仿宋"/>
          <w:color w:val="000000"/>
          <w:sz w:val="32"/>
          <w:szCs w:val="32"/>
          <w:highlight w:val="none"/>
        </w:rPr>
        <w:t>。</w:t>
      </w:r>
    </w:p>
    <w:p>
      <w:pPr>
        <w:spacing w:line="600" w:lineRule="exact"/>
        <w:ind w:firstLine="640" w:firstLineChars="200"/>
        <w:rPr>
          <w:rFonts w:hint="eastAsia" w:ascii="仿宋" w:hAnsi="仿宋" w:eastAsia="仿宋"/>
          <w:color w:val="000000"/>
          <w:sz w:val="32"/>
          <w:szCs w:val="32"/>
          <w:highlight w:val="none"/>
          <w:lang w:eastAsia="zh-CN"/>
        </w:rPr>
      </w:pP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改扩建工程支出较大。</w:t>
      </w:r>
    </w:p>
    <w:p>
      <w:pPr>
        <w:pStyle w:val="9"/>
        <w:rPr>
          <w:rFonts w:hint="eastAsia" w:ascii="仿宋" w:hAnsi="仿宋" w:eastAsia="仿宋"/>
          <w:color w:val="000000"/>
          <w:sz w:val="32"/>
          <w:szCs w:val="32"/>
          <w:highlight w:val="none"/>
          <w:lang w:eastAsia="zh-CN"/>
        </w:rPr>
      </w:pPr>
    </w:p>
    <w:p>
      <w:pPr>
        <w:rPr>
          <w:rFonts w:hint="eastAsia" w:ascii="仿宋" w:hAnsi="仿宋" w:eastAsia="仿宋"/>
          <w:color w:val="000000"/>
          <w:sz w:val="32"/>
          <w:szCs w:val="32"/>
          <w:highlight w:val="none"/>
          <w:lang w:eastAsia="zh-CN"/>
        </w:rPr>
      </w:pPr>
      <w:r>
        <w:drawing>
          <wp:inline distT="0" distB="0" distL="114300" distR="114300">
            <wp:extent cx="4572000" cy="2743200"/>
            <wp:effectExtent l="4445" t="4445" r="1460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9"/>
        <w:rPr>
          <w:rFonts w:hint="eastAsia"/>
          <w:lang w:val="en-US" w:eastAsia="zh-CN"/>
        </w:rPr>
      </w:pPr>
    </w:p>
    <w:p>
      <w:pPr>
        <w:spacing w:line="600" w:lineRule="exac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（图5：一般公共预算财政拨款支出决算变动情况）（柱状图）</w:t>
      </w:r>
    </w:p>
    <w:p>
      <w:pPr>
        <w:spacing w:line="600" w:lineRule="exact"/>
        <w:ind w:firstLine="642" w:firstLineChars="200"/>
        <w:outlineLvl w:val="2"/>
        <w:rPr>
          <w:rFonts w:ascii="仿宋" w:hAnsi="仿宋" w:eastAsia="仿宋"/>
          <w:b/>
          <w:color w:val="000000"/>
          <w:sz w:val="32"/>
          <w:szCs w:val="32"/>
        </w:rPr>
      </w:pPr>
      <w:bookmarkStart w:id="91" w:name="_Toc15377211"/>
      <w:bookmarkStart w:id="92" w:name="_Toc1902524914_WPSOffice_Level3"/>
      <w:r>
        <w:rPr>
          <w:rFonts w:hint="eastAsia" w:ascii="仿宋" w:hAnsi="仿宋" w:eastAsia="仿宋"/>
          <w:b/>
          <w:color w:val="000000"/>
          <w:sz w:val="32"/>
          <w:szCs w:val="32"/>
        </w:rPr>
        <w:t>（二）一般公共预算财政拨款支出决算结构情况</w:t>
      </w:r>
      <w:bookmarkEnd w:id="91"/>
      <w:bookmarkEnd w:id="92"/>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w:t>
      </w:r>
      <w:r>
        <w:rPr>
          <w:rFonts w:hint="eastAsia" w:ascii="仿宋" w:hAnsi="仿宋" w:eastAsia="仿宋"/>
          <w:color w:val="000000" w:themeColor="text1"/>
          <w:sz w:val="32"/>
          <w:szCs w:val="32"/>
          <w14:textFill>
            <w14:solidFill>
              <w14:schemeClr w14:val="tx1"/>
            </w14:solidFill>
          </w14:textFill>
        </w:rPr>
        <w:t>政拨款支出3483.07万元，主要用于以下方面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14:textFill>
            <w14:solidFill>
              <w14:schemeClr w14:val="tx1"/>
            </w14:solidFill>
          </w14:textFill>
        </w:rPr>
        <w:t>3483.07万元，占</w:t>
      </w:r>
      <w:r>
        <w:rPr>
          <w:rFonts w:hint="eastAsia" w:ascii="仿宋" w:hAnsi="仿宋" w:eastAsia="仿宋"/>
          <w:color w:val="000000" w:themeColor="text1"/>
          <w:sz w:val="32"/>
          <w:szCs w:val="32"/>
          <w:lang w:val="en-US" w:eastAsia="zh-CN"/>
          <w14:textFill>
            <w14:solidFill>
              <w14:schemeClr w14:val="tx1"/>
            </w14:solidFill>
          </w14:textFill>
        </w:rPr>
        <w:t>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rPr>
          <w:rFonts w:ascii="仿宋" w:hAnsi="仿宋" w:eastAsia="仿宋"/>
          <w:color w:val="000000" w:themeColor="text1"/>
          <w:sz w:val="32"/>
          <w:szCs w:val="32"/>
          <w14:textFill>
            <w14:solidFill>
              <w14:schemeClr w14:val="tx1"/>
            </w14:solidFill>
          </w14:textFill>
        </w:rPr>
      </w:pPr>
      <w:r>
        <w:drawing>
          <wp:anchor distT="0" distB="0" distL="114300" distR="114300" simplePos="0" relativeHeight="251663360" behindDoc="0" locked="0" layoutInCell="1" allowOverlap="1">
            <wp:simplePos x="0" y="0"/>
            <wp:positionH relativeFrom="column">
              <wp:posOffset>271145</wp:posOffset>
            </wp:positionH>
            <wp:positionV relativeFrom="paragraph">
              <wp:posOffset>33020</wp:posOffset>
            </wp:positionV>
            <wp:extent cx="4572000" cy="2743200"/>
            <wp:effectExtent l="4445" t="4445" r="1460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9"/>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pStyle w:val="9"/>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pStyle w:val="9"/>
        <w:rPr>
          <w:rFonts w:ascii="仿宋" w:hAnsi="仿宋" w:eastAsia="仿宋"/>
          <w:color w:val="000000" w:themeColor="text1"/>
          <w:sz w:val="32"/>
          <w:szCs w:val="32"/>
          <w14:textFill>
            <w14:solidFill>
              <w14:schemeClr w14:val="tx1"/>
            </w14:solidFill>
          </w14:textFill>
        </w:rPr>
      </w:pPr>
    </w:p>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93" w:name="_Toc15377212"/>
      <w:bookmarkStart w:id="94" w:name="_Toc610118549_WPSOffice_Level3"/>
      <w:r>
        <w:rPr>
          <w:rFonts w:hint="eastAsia" w:ascii="仿宋" w:hAnsi="仿宋" w:eastAsia="仿宋"/>
          <w:b/>
          <w:color w:val="000000"/>
          <w:sz w:val="32"/>
          <w:szCs w:val="32"/>
        </w:rPr>
        <w:t>（三）一般公共预算财政拨款支出决算具体情况</w:t>
      </w:r>
      <w:bookmarkEnd w:id="93"/>
      <w:bookmarkEnd w:id="94"/>
    </w:p>
    <w:p>
      <w:pPr>
        <w:spacing w:line="600" w:lineRule="exact"/>
        <w:ind w:firstLine="642" w:firstLineChars="200"/>
        <w:outlineLvl w:val="2"/>
        <w:rPr>
          <w:rStyle w:val="15"/>
          <w:rFonts w:ascii="仿宋" w:hAnsi="仿宋" w:eastAsia="仿宋"/>
          <w:bCs/>
          <w:color w:val="000000"/>
          <w:sz w:val="32"/>
          <w:szCs w:val="32"/>
        </w:rPr>
      </w:pPr>
      <w:bookmarkStart w:id="95" w:name="_Toc15378460"/>
      <w:bookmarkStart w:id="96" w:name="_Toc15377444"/>
      <w:bookmarkStart w:id="97" w:name="_Toc15377213"/>
      <w:r>
        <w:rPr>
          <w:rFonts w:hint="eastAsia" w:ascii="仿宋" w:hAnsi="仿宋" w:eastAsia="仿宋"/>
          <w:b/>
          <w:color w:val="000000" w:themeColor="text1"/>
          <w:sz w:val="32"/>
          <w:szCs w:val="32"/>
          <w14:textFill>
            <w14:solidFill>
              <w14:schemeClr w14:val="tx1"/>
            </w14:solidFill>
          </w14:textFill>
        </w:rPr>
        <w:t>202</w:t>
      </w: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年</w:t>
      </w:r>
      <w:r>
        <w:rPr>
          <w:rFonts w:hint="eastAsia" w:ascii="仿宋" w:hAnsi="仿宋" w:eastAsia="仿宋"/>
          <w:b/>
          <w:color w:val="000000" w:themeColor="text1"/>
          <w:sz w:val="32"/>
          <w:szCs w:val="32"/>
          <w:lang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3483.07</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w:t>
      </w:r>
      <w:r>
        <w:rPr>
          <w:rStyle w:val="15"/>
          <w:rFonts w:hint="eastAsia" w:ascii="仿宋" w:hAnsi="仿宋" w:eastAsia="仿宋"/>
          <w:bCs/>
          <w:color w:val="000000"/>
          <w:sz w:val="32"/>
          <w:szCs w:val="32"/>
          <w:lang w:val="en-US" w:eastAsia="zh-CN"/>
        </w:rPr>
        <w:t>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95"/>
      <w:bookmarkEnd w:id="96"/>
      <w:bookmarkEnd w:id="97"/>
    </w:p>
    <w:p>
      <w:pPr>
        <w:spacing w:line="600" w:lineRule="exact"/>
        <w:ind w:firstLine="640" w:firstLineChars="200"/>
        <w:rPr>
          <w:rStyle w:val="15"/>
          <w:rFonts w:ascii="仿宋" w:hAnsi="仿宋" w:eastAsia="仿宋"/>
          <w:bCs/>
          <w:color w:val="000000"/>
          <w:sz w:val="32"/>
          <w:szCs w:val="32"/>
        </w:rPr>
      </w:pPr>
      <w:r>
        <w:rPr>
          <w:rStyle w:val="15"/>
          <w:rFonts w:hint="eastAsia" w:ascii="仿宋" w:hAnsi="仿宋" w:eastAsia="仿宋"/>
          <w:b w:val="0"/>
          <w:bCs/>
          <w:color w:val="000000"/>
          <w:sz w:val="32"/>
          <w:szCs w:val="32"/>
          <w:lang w:val="en-US" w:eastAsia="zh-CN"/>
        </w:rPr>
        <w:t>1</w:t>
      </w:r>
      <w:r>
        <w:rPr>
          <w:rStyle w:val="15"/>
          <w:rFonts w:hint="eastAsia" w:ascii="仿宋" w:hAnsi="仿宋" w:eastAsia="仿宋"/>
          <w:b w:val="0"/>
          <w:bCs/>
          <w:color w:val="000000"/>
          <w:sz w:val="32"/>
          <w:szCs w:val="32"/>
        </w:rPr>
        <w:t>.教育（类）进修及培训（款）干部教育（项）: 支出决算为</w:t>
      </w:r>
      <w:r>
        <w:rPr>
          <w:rFonts w:hint="eastAsia" w:ascii="仿宋" w:hAnsi="仿宋" w:eastAsia="仿宋"/>
          <w:color w:val="000000" w:themeColor="text1"/>
          <w:sz w:val="32"/>
          <w:szCs w:val="32"/>
          <w14:textFill>
            <w14:solidFill>
              <w14:schemeClr w14:val="tx1"/>
            </w14:solidFill>
          </w14:textFill>
        </w:rPr>
        <w:t>3483.07</w:t>
      </w:r>
      <w:r>
        <w:rPr>
          <w:rStyle w:val="15"/>
          <w:rFonts w:hint="eastAsia" w:ascii="仿宋" w:hAnsi="仿宋" w:eastAsia="仿宋"/>
          <w:b w:val="0"/>
          <w:bCs/>
          <w:color w:val="000000"/>
          <w:sz w:val="32"/>
          <w:szCs w:val="32"/>
        </w:rPr>
        <w:t>万元，完成预算100%，决算数等于预算数。</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rPr>
        <w:t>1-1表，罗列全部功能分类科目至项级。上述“预算”口径为</w:t>
      </w:r>
      <w:r>
        <w:rPr>
          <w:rFonts w:hint="eastAsia" w:ascii="仿宋" w:hAnsi="仿宋" w:eastAsia="仿宋"/>
          <w:b/>
          <w:color w:val="FF0000"/>
          <w:sz w:val="32"/>
          <w:szCs w:val="32"/>
          <w:highlight w:val="yellow"/>
        </w:rPr>
        <w:t>调整预算数</w:t>
      </w:r>
      <w:r>
        <w:rPr>
          <w:rFonts w:hint="eastAsia" w:ascii="仿宋" w:hAnsi="仿宋" w:eastAsia="仿宋"/>
          <w:b/>
          <w:color w:val="FF0000"/>
          <w:sz w:val="32"/>
          <w:szCs w:val="32"/>
        </w:rPr>
        <w:t>。增减变动原因为决算数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和调整预算数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比较，与预算数持平可以不写原因。）</w:t>
      </w:r>
    </w:p>
    <w:p>
      <w:pPr>
        <w:spacing w:line="600" w:lineRule="exact"/>
        <w:ind w:firstLine="640"/>
        <w:rPr>
          <w:rFonts w:ascii="仿宋" w:hAnsi="仿宋" w:eastAsia="仿宋"/>
          <w:b/>
          <w:color w:val="000000"/>
          <w:sz w:val="32"/>
          <w:szCs w:val="32"/>
        </w:rPr>
      </w:pPr>
    </w:p>
    <w:p>
      <w:pPr>
        <w:tabs>
          <w:tab w:val="right" w:pos="8306"/>
        </w:tabs>
        <w:spacing w:line="600" w:lineRule="exact"/>
        <w:ind w:firstLine="640"/>
        <w:outlineLvl w:val="1"/>
        <w:rPr>
          <w:rStyle w:val="26"/>
        </w:rPr>
      </w:pPr>
      <w:bookmarkStart w:id="98" w:name="_Toc15396608"/>
      <w:bookmarkStart w:id="99" w:name="_Toc15377214"/>
      <w:bookmarkStart w:id="100" w:name="_Toc490562064_WPSOffice_Level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98"/>
      <w:bookmarkEnd w:id="99"/>
      <w:bookmarkEnd w:id="100"/>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152.17</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3330.9</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5"/>
        <w:rPr>
          <w:rFonts w:ascii="仿宋" w:hAnsi="仿宋" w:eastAsia="仿宋"/>
          <w:b/>
          <w:color w:val="FF0000"/>
          <w:sz w:val="32"/>
          <w:szCs w:val="32"/>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lang w:val="en-US" w:eastAsia="zh-CN"/>
        </w:rPr>
        <w:t>8</w:t>
      </w:r>
      <w:r>
        <w:rPr>
          <w:rFonts w:hint="eastAsia" w:ascii="仿宋" w:hAnsi="仿宋" w:eastAsia="仿宋"/>
          <w:b/>
          <w:color w:val="FF0000"/>
          <w:sz w:val="32"/>
          <w:szCs w:val="32"/>
        </w:rPr>
        <w:t>-1表，根据本</w:t>
      </w:r>
      <w:r>
        <w:rPr>
          <w:rFonts w:hint="eastAsia" w:ascii="仿宋" w:hAnsi="仿宋" w:eastAsia="仿宋"/>
          <w:b/>
          <w:color w:val="FF0000"/>
          <w:sz w:val="32"/>
          <w:szCs w:val="32"/>
          <w:lang w:eastAsia="zh-CN"/>
        </w:rPr>
        <w:t>单位</w:t>
      </w:r>
      <w:r>
        <w:rPr>
          <w:rFonts w:hint="eastAsia" w:ascii="仿宋" w:hAnsi="仿宋" w:eastAsia="仿宋"/>
          <w:b/>
          <w:color w:val="FF0000"/>
          <w:sz w:val="32"/>
          <w:szCs w:val="32"/>
        </w:rPr>
        <w:t>实际支出情况罗列全部经济分类科目。）</w:t>
      </w:r>
    </w:p>
    <w:p>
      <w:pPr>
        <w:numPr>
          <w:ilvl w:val="0"/>
          <w:numId w:val="3"/>
        </w:numPr>
        <w:spacing w:line="600" w:lineRule="exact"/>
        <w:ind w:firstLine="640"/>
        <w:rPr>
          <w:rStyle w:val="26"/>
          <w:rFonts w:hint="eastAsia" w:ascii="黑体" w:hAnsi="黑体" w:eastAsia="黑体"/>
          <w:b w:val="0"/>
          <w:bCs/>
        </w:rPr>
      </w:pPr>
      <w:bookmarkStart w:id="101" w:name="_Toc355401019_WPSOffice_Level2"/>
      <w:r>
        <w:rPr>
          <w:rFonts w:hint="eastAsia" w:ascii="黑体" w:hAnsi="黑体" w:eastAsia="黑体"/>
          <w:b w:val="0"/>
          <w:bCs/>
          <w:color w:val="000000"/>
          <w:sz w:val="32"/>
          <w:szCs w:val="32"/>
        </w:rPr>
        <w:t>一</w:t>
      </w:r>
      <w:r>
        <w:rPr>
          <w:rStyle w:val="26"/>
          <w:rFonts w:hint="eastAsia" w:ascii="黑体" w:hAnsi="黑体" w:eastAsia="黑体"/>
          <w:b w:val="0"/>
          <w:bCs/>
        </w:rPr>
        <w:t>般公共预算财政拨款</w:t>
      </w:r>
      <w:r>
        <w:rPr>
          <w:rStyle w:val="26"/>
          <w:rFonts w:hint="eastAsia" w:ascii="黑体" w:hAnsi="黑体" w:eastAsia="黑体"/>
          <w:b w:val="0"/>
          <w:bCs/>
          <w:lang w:eastAsia="zh-CN"/>
        </w:rPr>
        <w:t>项目</w:t>
      </w:r>
      <w:r>
        <w:rPr>
          <w:rStyle w:val="26"/>
          <w:rFonts w:hint="eastAsia" w:ascii="黑体" w:hAnsi="黑体" w:eastAsia="黑体"/>
          <w:b w:val="0"/>
          <w:bCs/>
        </w:rPr>
        <w:t>支出决算情况说明</w:t>
      </w:r>
      <w:bookmarkEnd w:id="101"/>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w:t>
      </w:r>
      <w:r>
        <w:rPr>
          <w:rFonts w:hint="eastAsia" w:ascii="仿宋" w:hAnsi="仿宋" w:eastAsia="仿宋"/>
          <w:color w:val="000000"/>
          <w:sz w:val="32"/>
          <w:szCs w:val="32"/>
          <w:lang w:eastAsia="zh-CN"/>
        </w:rPr>
        <w:t>项目</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万元，其中：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val="en-US" w:eastAsia="zh-CN"/>
        </w:rPr>
      </w:pPr>
      <w:r>
        <w:rPr>
          <w:rFonts w:hint="eastAsia" w:ascii="仿宋_GB2312" w:hAnsi="仿宋_GB2312" w:eastAsia="仿宋_GB2312" w:cs="仿宋_GB2312"/>
          <w:sz w:val="32"/>
          <w:szCs w:val="32"/>
          <w:lang w:eastAsia="zh-CN"/>
        </w:rPr>
        <w:t>改扩建工程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，主要用于：项目人员支出，包括</w:t>
      </w:r>
      <w:r>
        <w:rPr>
          <w:rFonts w:hint="eastAsia" w:ascii="仿宋" w:hAnsi="仿宋" w:eastAsia="仿宋"/>
          <w:color w:val="000000"/>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olor w:val="000000"/>
          <w:sz w:val="32"/>
          <w:szCs w:val="32"/>
          <w:lang w:eastAsia="zh-CN"/>
        </w:rPr>
        <w:t>；项目经费支出，包括</w:t>
      </w:r>
      <w:r>
        <w:rPr>
          <w:rFonts w:hint="eastAsia" w:ascii="仿宋" w:hAnsi="仿宋" w:eastAsia="仿宋"/>
          <w:color w:val="000000"/>
          <w:sz w:val="32"/>
          <w:szCs w:val="32"/>
        </w:rPr>
        <w:t>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hint="eastAsia" w:ascii="仿宋" w:hAnsi="仿宋" w:eastAsia="仿宋"/>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outlineLvl w:val="9"/>
        <w:rPr>
          <w:rFonts w:hint="eastAsia" w:ascii="仿宋" w:hAnsi="仿宋" w:eastAsia="仿宋"/>
          <w:color w:val="000000"/>
          <w:sz w:val="32"/>
          <w:szCs w:val="32"/>
          <w:lang w:eastAsia="zh-CN"/>
        </w:rPr>
      </w:pPr>
      <w:r>
        <w:rPr>
          <w:rFonts w:hint="eastAsia" w:ascii="仿宋" w:hAnsi="仿宋" w:eastAsia="仿宋"/>
          <w:b/>
          <w:color w:val="FF0000"/>
          <w:sz w:val="32"/>
          <w:szCs w:val="32"/>
        </w:rPr>
        <w:t>（注：数据来源于财决</w:t>
      </w:r>
      <w:r>
        <w:rPr>
          <w:rFonts w:ascii="仿宋" w:hAnsi="仿宋" w:eastAsia="仿宋"/>
          <w:b/>
          <w:color w:val="FF0000"/>
          <w:sz w:val="32"/>
          <w:szCs w:val="32"/>
        </w:rPr>
        <w:t>Z0</w:t>
      </w:r>
      <w:r>
        <w:rPr>
          <w:rFonts w:hint="eastAsia" w:ascii="仿宋" w:hAnsi="仿宋" w:eastAsia="仿宋"/>
          <w:b/>
          <w:color w:val="FF0000"/>
          <w:sz w:val="32"/>
          <w:szCs w:val="32"/>
          <w:lang w:val="en-US" w:eastAsia="zh-CN"/>
        </w:rPr>
        <w:t>8</w:t>
      </w:r>
      <w:r>
        <w:rPr>
          <w:rFonts w:hint="eastAsia" w:ascii="仿宋" w:hAnsi="仿宋" w:eastAsia="仿宋"/>
          <w:b/>
          <w:color w:val="FF0000"/>
          <w:sz w:val="32"/>
          <w:szCs w:val="32"/>
        </w:rPr>
        <w:t>-</w:t>
      </w:r>
      <w:r>
        <w:rPr>
          <w:rFonts w:hint="eastAsia" w:ascii="仿宋" w:hAnsi="仿宋" w:eastAsia="仿宋"/>
          <w:b/>
          <w:color w:val="FF0000"/>
          <w:sz w:val="32"/>
          <w:szCs w:val="32"/>
          <w:lang w:val="en-US" w:eastAsia="zh-CN"/>
        </w:rPr>
        <w:t>2</w:t>
      </w:r>
      <w:r>
        <w:rPr>
          <w:rFonts w:hint="eastAsia" w:ascii="仿宋" w:hAnsi="仿宋" w:eastAsia="仿宋"/>
          <w:b/>
          <w:color w:val="FF0000"/>
          <w:sz w:val="32"/>
          <w:szCs w:val="32"/>
        </w:rPr>
        <w:t>表，</w:t>
      </w:r>
      <w:r>
        <w:rPr>
          <w:rFonts w:hint="eastAsia" w:ascii="仿宋" w:hAnsi="仿宋" w:eastAsia="仿宋"/>
          <w:b/>
          <w:color w:val="FF0000"/>
          <w:sz w:val="32"/>
          <w:szCs w:val="32"/>
          <w:lang w:eastAsia="zh-CN"/>
        </w:rPr>
        <w:t>除涉密项目外，</w:t>
      </w:r>
      <w:r>
        <w:rPr>
          <w:rFonts w:hint="eastAsia" w:ascii="仿宋" w:hAnsi="仿宋" w:eastAsia="仿宋"/>
          <w:b/>
          <w:color w:val="FF0000"/>
          <w:sz w:val="32"/>
          <w:szCs w:val="32"/>
        </w:rPr>
        <w:t>根据本</w:t>
      </w:r>
      <w:r>
        <w:rPr>
          <w:rFonts w:hint="eastAsia" w:ascii="仿宋" w:hAnsi="仿宋" w:eastAsia="仿宋"/>
          <w:b/>
          <w:color w:val="FF0000"/>
          <w:sz w:val="32"/>
          <w:szCs w:val="32"/>
          <w:lang w:eastAsia="zh-CN"/>
        </w:rPr>
        <w:t>单位</w:t>
      </w:r>
      <w:r>
        <w:rPr>
          <w:rFonts w:hint="eastAsia" w:ascii="仿宋" w:hAnsi="仿宋" w:eastAsia="仿宋"/>
          <w:b/>
          <w:color w:val="FF0000"/>
          <w:sz w:val="32"/>
          <w:szCs w:val="32"/>
        </w:rPr>
        <w:t>实际支出情况罗列全部经济分类科目。）</w:t>
      </w:r>
    </w:p>
    <w:p>
      <w:pPr>
        <w:spacing w:line="600" w:lineRule="exact"/>
        <w:ind w:firstLine="640"/>
        <w:outlineLvl w:val="1"/>
        <w:rPr>
          <w:rStyle w:val="26"/>
          <w:rFonts w:ascii="黑体" w:hAnsi="黑体" w:eastAsia="黑体"/>
          <w:b w:val="0"/>
        </w:rPr>
      </w:pPr>
      <w:bookmarkStart w:id="102" w:name="_Toc15377215"/>
      <w:bookmarkStart w:id="103" w:name="_Toc15396609"/>
      <w:bookmarkStart w:id="104" w:name="_Toc519372767_WPSOffice_Level2"/>
      <w:r>
        <w:rPr>
          <w:rFonts w:hint="eastAsia" w:ascii="黑体" w:eastAsia="黑体"/>
          <w:color w:val="000000"/>
          <w:sz w:val="32"/>
          <w:szCs w:val="32"/>
          <w:lang w:eastAsia="zh-CN"/>
        </w:rPr>
        <w:t>八</w:t>
      </w:r>
      <w:r>
        <w:rPr>
          <w:rFonts w:hint="eastAsia" w:ascii="黑体" w:eastAsia="黑体"/>
          <w:color w:val="000000"/>
          <w:sz w:val="32"/>
          <w:szCs w:val="32"/>
        </w:rPr>
        <w:t>、</w:t>
      </w:r>
      <w:r>
        <w:rPr>
          <w:rStyle w:val="26"/>
          <w:rFonts w:hint="eastAsia" w:ascii="黑体" w:hAnsi="黑体" w:eastAsia="黑体"/>
        </w:rPr>
        <w:t>“</w:t>
      </w:r>
      <w:r>
        <w:rPr>
          <w:rStyle w:val="26"/>
          <w:rFonts w:hint="eastAsia" w:ascii="黑体" w:hAnsi="黑体" w:eastAsia="黑体"/>
          <w:b w:val="0"/>
        </w:rPr>
        <w:t>三公”经费财政拨款支出决算情况说明</w:t>
      </w:r>
      <w:bookmarkEnd w:id="102"/>
      <w:bookmarkEnd w:id="103"/>
      <w:bookmarkEnd w:id="104"/>
    </w:p>
    <w:p>
      <w:pPr>
        <w:spacing w:line="600" w:lineRule="exact"/>
        <w:ind w:firstLine="640"/>
        <w:outlineLvl w:val="2"/>
        <w:rPr>
          <w:rFonts w:ascii="仿宋" w:hAnsi="仿宋" w:eastAsia="仿宋"/>
          <w:b/>
          <w:color w:val="000000"/>
          <w:sz w:val="32"/>
          <w:szCs w:val="32"/>
        </w:rPr>
      </w:pPr>
      <w:bookmarkStart w:id="105" w:name="_Toc10087947_WPSOffice_Level3"/>
      <w:bookmarkStart w:id="106" w:name="_Toc15377216"/>
      <w:r>
        <w:rPr>
          <w:rFonts w:hint="eastAsia" w:ascii="仿宋" w:hAnsi="仿宋" w:eastAsia="仿宋"/>
          <w:b/>
          <w:color w:val="000000"/>
          <w:sz w:val="32"/>
          <w:szCs w:val="32"/>
        </w:rPr>
        <w:t>（一）“三公”经费财政拨款支出决算总体情况说明</w:t>
      </w:r>
      <w:bookmarkEnd w:id="105"/>
      <w:bookmarkEnd w:id="106"/>
    </w:p>
    <w:p>
      <w:pPr>
        <w:spacing w:line="590" w:lineRule="exact"/>
        <w:ind w:firstLine="640" w:firstLineChars="200"/>
        <w:rPr>
          <w:rFonts w:hint="default" w:ascii="仿宋" w:hAnsi="仿宋" w:eastAsia="仿宋"/>
          <w:b/>
          <w:color w:val="FF0000"/>
          <w:sz w:val="32"/>
          <w:szCs w:val="32"/>
          <w:lang w:val="en"/>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年“三公”经费财政拨款支出决算为</w:t>
      </w:r>
      <w:r>
        <w:rPr>
          <w:rFonts w:hint="default" w:ascii="仿宋" w:hAnsi="仿宋" w:eastAsia="仿宋"/>
          <w:color w:val="000000"/>
          <w:sz w:val="32"/>
          <w:szCs w:val="32"/>
          <w:lang w:val="en" w:eastAsia="zh-CN"/>
        </w:rPr>
        <w:t>0</w:t>
      </w:r>
      <w:r>
        <w:rPr>
          <w:rFonts w:hint="eastAsia" w:ascii="仿宋" w:hAnsi="仿宋" w:eastAsia="仿宋"/>
          <w:color w:val="000000"/>
          <w:sz w:val="32"/>
          <w:szCs w:val="32"/>
        </w:rPr>
        <w:t>万元，完成预算</w:t>
      </w:r>
      <w:r>
        <w:rPr>
          <w:rFonts w:hint="default" w:ascii="仿宋" w:hAnsi="仿宋" w:eastAsia="仿宋"/>
          <w:color w:val="000000"/>
          <w:sz w:val="32"/>
          <w:szCs w:val="32"/>
          <w:lang w:val="en" w:eastAsia="zh-CN"/>
        </w:rPr>
        <w:t>100</w:t>
      </w:r>
      <w:r>
        <w:rPr>
          <w:rFonts w:ascii="仿宋" w:hAnsi="仿宋" w:eastAsia="仿宋"/>
          <w:color w:val="000000"/>
          <w:sz w:val="32"/>
          <w:szCs w:val="32"/>
        </w:rPr>
        <w:t>%</w:t>
      </w:r>
      <w:r>
        <w:rPr>
          <w:rFonts w:hint="eastAsia" w:ascii="仿宋" w:hAnsi="仿宋" w:eastAsia="仿宋"/>
          <w:color w:val="000000"/>
          <w:sz w:val="32"/>
          <w:szCs w:val="32"/>
        </w:rPr>
        <w:t>，</w:t>
      </w:r>
      <w:r>
        <w:rPr>
          <w:rFonts w:hint="eastAsia" w:eastAsia="方正仿宋_GBK"/>
          <w:sz w:val="33"/>
          <w:szCs w:val="33"/>
        </w:rPr>
        <w:t>比2020年</w:t>
      </w:r>
      <w:r>
        <w:rPr>
          <w:rFonts w:hint="default" w:eastAsia="方正仿宋_GBK"/>
          <w:sz w:val="33"/>
          <w:szCs w:val="33"/>
          <w:lang w:val="en"/>
        </w:rPr>
        <w:t>减少0.4</w:t>
      </w:r>
      <w:r>
        <w:rPr>
          <w:rFonts w:hint="eastAsia" w:eastAsia="方正仿宋_GBK"/>
          <w:sz w:val="33"/>
          <w:szCs w:val="33"/>
        </w:rPr>
        <w:t>万元，</w:t>
      </w:r>
      <w:r>
        <w:rPr>
          <w:rFonts w:hint="default" w:eastAsia="方正仿宋_GBK"/>
          <w:sz w:val="33"/>
          <w:szCs w:val="33"/>
          <w:lang w:val="en"/>
        </w:rPr>
        <w:t>减少100%，</w:t>
      </w:r>
      <w:r>
        <w:rPr>
          <w:rFonts w:hint="eastAsia" w:eastAsia="方正仿宋_GBK"/>
          <w:sz w:val="33"/>
          <w:szCs w:val="33"/>
        </w:rPr>
        <w:t>主要原因是公务接待费较2020年</w:t>
      </w:r>
      <w:r>
        <w:rPr>
          <w:rFonts w:hint="default" w:eastAsia="方正仿宋_GBK"/>
          <w:sz w:val="33"/>
          <w:szCs w:val="33"/>
          <w:lang w:val="en"/>
        </w:rPr>
        <w:t>减少了0.4</w:t>
      </w:r>
      <w:r>
        <w:rPr>
          <w:rFonts w:hint="eastAsia" w:eastAsia="方正仿宋_GBK"/>
          <w:sz w:val="33"/>
          <w:szCs w:val="33"/>
        </w:rPr>
        <w:t>万元。</w:t>
      </w:r>
      <w:r>
        <w:rPr>
          <w:rFonts w:hint="eastAsia" w:ascii="仿宋" w:hAnsi="仿宋" w:eastAsia="仿宋"/>
          <w:color w:val="000000"/>
          <w:sz w:val="32"/>
          <w:szCs w:val="32"/>
        </w:rPr>
        <w:t>决算数与预算数持平的主要原因是接待活动较少</w:t>
      </w:r>
      <w:r>
        <w:rPr>
          <w:rFonts w:hint="default" w:ascii="仿宋" w:hAnsi="仿宋" w:eastAsia="仿宋"/>
          <w:color w:val="000000"/>
          <w:sz w:val="32"/>
          <w:szCs w:val="32"/>
          <w:lang w:val="en"/>
        </w:rPr>
        <w:t>，</w:t>
      </w:r>
      <w:r>
        <w:rPr>
          <w:rFonts w:hint="eastAsia" w:eastAsia="方正仿宋_GBK"/>
          <w:sz w:val="33"/>
          <w:szCs w:val="33"/>
        </w:rPr>
        <w:t>严格落实中央八项规定精神，严守财经纪律，“三公”经费规范管理。</w:t>
      </w:r>
    </w:p>
    <w:p>
      <w:pPr>
        <w:spacing w:line="600" w:lineRule="exact"/>
        <w:ind w:firstLine="640"/>
        <w:outlineLvl w:val="2"/>
        <w:rPr>
          <w:rFonts w:ascii="仿宋" w:hAnsi="仿宋" w:eastAsia="仿宋"/>
          <w:b/>
          <w:color w:val="000000"/>
          <w:sz w:val="32"/>
          <w:szCs w:val="32"/>
        </w:rPr>
      </w:pPr>
      <w:bookmarkStart w:id="107" w:name="_Toc15377217"/>
      <w:bookmarkStart w:id="108" w:name="_Toc952161770_WPSOffice_Level3"/>
      <w:r>
        <w:rPr>
          <w:rFonts w:hint="eastAsia" w:ascii="仿宋" w:hAnsi="仿宋" w:eastAsia="仿宋"/>
          <w:b/>
          <w:color w:val="000000"/>
          <w:sz w:val="32"/>
          <w:szCs w:val="32"/>
        </w:rPr>
        <w:t>（二）“三公”经费财政拨款支出决算具体情况说明</w:t>
      </w:r>
      <w:bookmarkEnd w:id="107"/>
      <w:bookmarkEnd w:id="108"/>
    </w:p>
    <w:p>
      <w:pPr>
        <w:spacing w:line="600" w:lineRule="exact"/>
        <w:ind w:firstLine="640"/>
        <w:rPr>
          <w:rFonts w:hint="eastAsia"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年“三公”经费财政拨款支出决算中，</w:t>
      </w:r>
      <w:r>
        <w:rPr>
          <w:rFonts w:hint="eastAsia" w:eastAsia="方正仿宋_GBK"/>
          <w:sz w:val="33"/>
          <w:szCs w:val="33"/>
        </w:rPr>
        <w:t>比2020年</w:t>
      </w:r>
      <w:r>
        <w:rPr>
          <w:rFonts w:hint="default" w:eastAsia="方正仿宋_GBK"/>
          <w:sz w:val="33"/>
          <w:szCs w:val="33"/>
          <w:lang w:val="en"/>
        </w:rPr>
        <w:t>减少0.4</w:t>
      </w:r>
      <w:r>
        <w:rPr>
          <w:rFonts w:hint="eastAsia" w:eastAsia="方正仿宋_GBK"/>
          <w:sz w:val="33"/>
          <w:szCs w:val="33"/>
        </w:rPr>
        <w:t>万元，</w:t>
      </w:r>
      <w:r>
        <w:rPr>
          <w:rFonts w:hint="default" w:eastAsia="方正仿宋_GBK"/>
          <w:sz w:val="33"/>
          <w:szCs w:val="33"/>
          <w:lang w:val="en"/>
        </w:rPr>
        <w:t>减少100%，</w:t>
      </w:r>
      <w:r>
        <w:rPr>
          <w:rFonts w:hint="eastAsia" w:eastAsia="方正仿宋_GBK"/>
          <w:sz w:val="33"/>
          <w:szCs w:val="33"/>
        </w:rPr>
        <w:t>主要原因是公务接待费较2020年</w:t>
      </w:r>
      <w:r>
        <w:rPr>
          <w:rFonts w:hint="default" w:eastAsia="方正仿宋_GBK"/>
          <w:sz w:val="33"/>
          <w:szCs w:val="33"/>
          <w:lang w:val="en"/>
        </w:rPr>
        <w:t>减少了0.4</w:t>
      </w:r>
      <w:r>
        <w:rPr>
          <w:rFonts w:hint="eastAsia" w:eastAsia="方正仿宋_GBK"/>
          <w:sz w:val="33"/>
          <w:szCs w:val="33"/>
        </w:rPr>
        <w:t>万元。</w:t>
      </w:r>
      <w:r>
        <w:rPr>
          <w:rFonts w:hint="default" w:ascii="仿宋" w:hAnsi="仿宋" w:eastAsia="仿宋"/>
          <w:color w:val="000000"/>
          <w:sz w:val="32"/>
          <w:szCs w:val="32"/>
          <w:lang w:val="en"/>
        </w:rPr>
        <w:t>其中：</w:t>
      </w:r>
      <w:r>
        <w:rPr>
          <w:rFonts w:hint="eastAsia" w:ascii="仿宋" w:hAnsi="仿宋" w:eastAsia="仿宋"/>
          <w:color w:val="000000"/>
          <w:sz w:val="32"/>
          <w:szCs w:val="32"/>
        </w:rPr>
        <w:t>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default" w:ascii="仿宋" w:hAnsi="仿宋" w:eastAsia="仿宋"/>
          <w:color w:val="000000"/>
          <w:sz w:val="32"/>
          <w:szCs w:val="32"/>
          <w:lang w:val="en" w:eastAsia="zh-CN"/>
        </w:rPr>
        <w:t>0</w:t>
      </w:r>
      <w:r>
        <w:rPr>
          <w:rFonts w:hint="eastAsia" w:ascii="仿宋" w:hAnsi="仿宋" w:eastAsia="仿宋"/>
          <w:color w:val="000000"/>
          <w:sz w:val="32"/>
          <w:szCs w:val="32"/>
        </w:rPr>
        <w:t>万元，占</w:t>
      </w:r>
      <w:r>
        <w:rPr>
          <w:rFonts w:hint="default" w:ascii="仿宋" w:hAnsi="仿宋" w:eastAsia="仿宋"/>
          <w:color w:val="000000"/>
          <w:sz w:val="32"/>
          <w:szCs w:val="32"/>
          <w:lang w:val="en" w:eastAsia="zh-CN"/>
        </w:rPr>
        <w:t>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持平。全年安排因公出国（境）团组0次，出国（境）0人。</w:t>
      </w:r>
    </w:p>
    <w:p>
      <w:pPr>
        <w:spacing w:line="600" w:lineRule="exact"/>
        <w:ind w:firstLine="640"/>
        <w:rPr>
          <w:rFonts w:hint="eastAsia" w:eastAsia="仿宋_GB2312"/>
          <w:sz w:val="33"/>
          <w:szCs w:val="33"/>
          <w:lang w:val="en"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p>
    <w:p>
      <w:pPr>
        <w:pStyle w:val="6"/>
        <w:ind w:firstLine="495" w:firstLineChars="150"/>
        <w:rPr>
          <w:rFonts w:hint="eastAsia" w:eastAsia="方正仿宋_GBK"/>
          <w:sz w:val="33"/>
          <w:szCs w:val="33"/>
        </w:rPr>
      </w:pPr>
      <w:r>
        <w:rPr>
          <w:rFonts w:hint="eastAsia" w:eastAsia="方正仿宋_GBK"/>
          <w:sz w:val="33"/>
          <w:szCs w:val="33"/>
        </w:rPr>
        <w:t>其中：</w:t>
      </w:r>
      <w:r>
        <w:rPr>
          <w:rFonts w:hint="eastAsia" w:eastAsia="方正仿宋_GBK"/>
          <w:b/>
          <w:bCs/>
          <w:sz w:val="33"/>
          <w:szCs w:val="33"/>
        </w:rPr>
        <w:t>公务用车购置支出</w:t>
      </w:r>
      <w:r>
        <w:rPr>
          <w:rFonts w:hint="eastAsia" w:eastAsia="方正仿宋_GBK"/>
          <w:sz w:val="33"/>
          <w:szCs w:val="33"/>
        </w:rPr>
        <w:t>0万元。</w:t>
      </w:r>
      <w:r>
        <w:rPr>
          <w:rFonts w:hint="eastAsia" w:ascii="仿宋_GB2312" w:eastAsia="仿宋_GB2312"/>
          <w:sz w:val="32"/>
          <w:szCs w:val="32"/>
        </w:rPr>
        <w:t>单位现有公务用车0辆</w:t>
      </w:r>
      <w:r>
        <w:rPr>
          <w:rFonts w:hint="eastAsia" w:ascii="仿宋_GB2312" w:eastAsia="仿宋_GB2312"/>
          <w:sz w:val="32"/>
          <w:szCs w:val="32"/>
          <w:lang w:eastAsia="zh-CN"/>
        </w:rPr>
        <w:t>。</w:t>
      </w:r>
      <w:r>
        <w:rPr>
          <w:rFonts w:hint="eastAsia" w:eastAsia="方正仿宋_GBK"/>
          <w:sz w:val="33"/>
          <w:szCs w:val="33"/>
        </w:rPr>
        <w:t>全年未更新购置公务用车。</w:t>
      </w:r>
    </w:p>
    <w:p>
      <w:pPr>
        <w:pStyle w:val="6"/>
        <w:ind w:firstLine="331" w:firstLineChars="100"/>
        <w:rPr>
          <w:rFonts w:hint="default" w:eastAsia="方正仿宋_GBK"/>
          <w:sz w:val="33"/>
          <w:szCs w:val="33"/>
          <w:lang w:val="en"/>
        </w:rPr>
      </w:pPr>
      <w:r>
        <w:rPr>
          <w:rFonts w:hint="eastAsia" w:eastAsia="方正仿宋_GBK"/>
          <w:b/>
          <w:bCs/>
          <w:sz w:val="33"/>
          <w:szCs w:val="33"/>
        </w:rPr>
        <w:t>公务用车运行维护费支出</w:t>
      </w:r>
      <w:r>
        <w:rPr>
          <w:rFonts w:hint="default" w:eastAsia="方正仿宋_GBK"/>
          <w:b/>
          <w:bCs/>
          <w:sz w:val="33"/>
          <w:szCs w:val="33"/>
          <w:lang w:val="en"/>
        </w:rPr>
        <w:t>0</w:t>
      </w:r>
      <w:r>
        <w:rPr>
          <w:rFonts w:hint="eastAsia" w:eastAsia="方正仿宋_GBK"/>
          <w:sz w:val="33"/>
          <w:szCs w:val="33"/>
        </w:rPr>
        <w:t>万元</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r>
        <w:rPr>
          <w:rFonts w:hint="eastAsia" w:eastAsia="方正仿宋_GBK"/>
          <w:sz w:val="33"/>
          <w:szCs w:val="33"/>
        </w:rPr>
        <w:t>全年未更新购置公务用车</w:t>
      </w:r>
      <w:r>
        <w:rPr>
          <w:rFonts w:hint="default" w:eastAsia="方正仿宋_GBK"/>
          <w:sz w:val="33"/>
          <w:szCs w:val="33"/>
          <w:lang w:val="en"/>
        </w:rPr>
        <w:t>，未产生公务用车运行维护费。</w:t>
      </w:r>
    </w:p>
    <w:p>
      <w:pPr>
        <w:pStyle w:val="6"/>
        <w:ind w:firstLine="481" w:firstLineChars="15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default"/>
          <w:color w:val="000000"/>
          <w:sz w:val="32"/>
          <w:szCs w:val="32"/>
          <w:lang w:val="en" w:eastAsia="zh-CN"/>
        </w:rPr>
        <w:t>0</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w:t>
      </w:r>
      <w:r>
        <w:rPr>
          <w:rFonts w:hint="default"/>
          <w:color w:val="000000"/>
          <w:sz w:val="32"/>
          <w:szCs w:val="32"/>
          <w:lang w:val="en"/>
        </w:rPr>
        <w:t>减少0.4</w:t>
      </w:r>
      <w:r>
        <w:rPr>
          <w:rFonts w:hint="eastAsia" w:ascii="仿宋_GB2312" w:eastAsia="仿宋_GB2312"/>
          <w:color w:val="000000"/>
          <w:sz w:val="32"/>
          <w:szCs w:val="32"/>
        </w:rPr>
        <w:t>万元，</w:t>
      </w:r>
      <w:r>
        <w:rPr>
          <w:rFonts w:hint="default"/>
          <w:color w:val="000000"/>
          <w:sz w:val="32"/>
          <w:szCs w:val="32"/>
          <w:lang w:val="en"/>
        </w:rPr>
        <w:t>减少100</w:t>
      </w:r>
      <w:r>
        <w:rPr>
          <w:rFonts w:ascii="仿宋_GB2312" w:eastAsia="仿宋_GB2312"/>
          <w:color w:val="000000"/>
          <w:sz w:val="32"/>
          <w:szCs w:val="32"/>
        </w:rPr>
        <w:t>%</w:t>
      </w:r>
      <w:r>
        <w:rPr>
          <w:rFonts w:hint="eastAsia" w:ascii="仿宋_GB2312" w:eastAsia="仿宋_GB2312"/>
          <w:color w:val="000000"/>
          <w:sz w:val="32"/>
          <w:szCs w:val="32"/>
        </w:rPr>
        <w:t>。主要原因是接待活动</w:t>
      </w:r>
      <w:r>
        <w:rPr>
          <w:rFonts w:hint="default"/>
          <w:color w:val="000000"/>
          <w:sz w:val="32"/>
          <w:szCs w:val="32"/>
          <w:lang w:val="en"/>
        </w:rPr>
        <w:t>减少</w:t>
      </w:r>
      <w:r>
        <w:rPr>
          <w:rFonts w:hint="eastAsia" w:ascii="仿宋_GB2312" w:eastAsia="仿宋_GB2312"/>
          <w:color w:val="000000"/>
          <w:sz w:val="32"/>
          <w:szCs w:val="32"/>
        </w:rPr>
        <w:t>。其中：</w:t>
      </w:r>
    </w:p>
    <w:p>
      <w:pPr>
        <w:keepNext w:val="0"/>
        <w:keepLines w:val="0"/>
        <w:pageBreakBefore w:val="0"/>
        <w:widowControl/>
        <w:suppressLineNumbers w:val="0"/>
        <w:kinsoku/>
        <w:wordWrap/>
        <w:overflowPunct/>
        <w:topLinePunct w:val="0"/>
        <w:autoSpaceDE/>
        <w:autoSpaceDN/>
        <w:bidi w:val="0"/>
        <w:adjustRightInd/>
        <w:snapToGrid/>
        <w:ind w:firstLine="642" w:firstLineChars="200"/>
        <w:jc w:val="left"/>
        <w:textAlignment w:val="auto"/>
        <w:rPr>
          <w:rFonts w:hint="default" w:ascii="仿宋_GB2312" w:eastAsia="仿宋_GB2312"/>
          <w:color w:val="000000"/>
          <w:sz w:val="32"/>
          <w:szCs w:val="32"/>
          <w:lang w:val="en"/>
        </w:rPr>
      </w:pPr>
      <w:r>
        <w:rPr>
          <w:rFonts w:hint="eastAsia" w:ascii="仿宋" w:hAnsi="仿宋" w:eastAsia="仿宋"/>
          <w:b/>
          <w:color w:val="000000"/>
          <w:sz w:val="32"/>
          <w:szCs w:val="32"/>
        </w:rPr>
        <w:t>国内公务接待支出</w:t>
      </w:r>
      <w:r>
        <w:rPr>
          <w:rFonts w:hint="default" w:ascii="仿宋" w:hAnsi="仿宋" w:eastAsia="仿宋"/>
          <w:color w:val="000000"/>
          <w:sz w:val="32"/>
          <w:szCs w:val="32"/>
          <w:lang w:val="en" w:eastAsia="zh-CN"/>
        </w:rPr>
        <w:t>0</w:t>
      </w:r>
      <w:r>
        <w:rPr>
          <w:rFonts w:hint="eastAsia" w:ascii="仿宋_GB2312" w:eastAsia="仿宋_GB2312"/>
          <w:color w:val="000000"/>
          <w:sz w:val="32"/>
          <w:szCs w:val="32"/>
        </w:rPr>
        <w:t>万元，</w:t>
      </w:r>
      <w:r>
        <w:rPr>
          <w:rFonts w:hint="eastAsia" w:eastAsia="方正仿宋_GBK"/>
          <w:sz w:val="33"/>
          <w:szCs w:val="33"/>
        </w:rPr>
        <w:t>比2020年增加</w:t>
      </w:r>
      <w:r>
        <w:rPr>
          <w:rFonts w:hint="default" w:eastAsia="方正仿宋_GBK"/>
          <w:sz w:val="33"/>
          <w:szCs w:val="33"/>
          <w:lang w:val="en"/>
        </w:rPr>
        <w:t>0</w:t>
      </w:r>
      <w:r>
        <w:rPr>
          <w:rFonts w:hint="eastAsia" w:eastAsia="方正仿宋_GBK"/>
          <w:sz w:val="33"/>
          <w:szCs w:val="33"/>
        </w:rPr>
        <w:t>万元，增长</w:t>
      </w:r>
      <w:r>
        <w:rPr>
          <w:rFonts w:hint="default" w:eastAsia="方正仿宋_GBK"/>
          <w:sz w:val="33"/>
          <w:szCs w:val="33"/>
          <w:lang w:val="en"/>
        </w:rPr>
        <w:t>0%。</w:t>
      </w:r>
    </w:p>
    <w:p>
      <w:pPr>
        <w:spacing w:line="600" w:lineRule="exact"/>
        <w:ind w:firstLine="640"/>
        <w:rPr>
          <w:rFonts w:hint="eastAsia" w:eastAsia="方正仿宋_GBK"/>
          <w:sz w:val="33"/>
          <w:szCs w:val="33"/>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w:t>
      </w:r>
      <w:r>
        <w:rPr>
          <w:rFonts w:hint="eastAsia" w:eastAsia="方正仿宋_GBK"/>
          <w:sz w:val="33"/>
          <w:szCs w:val="33"/>
        </w:rPr>
        <w:t>比2020年增加0万元。外事接待0批次，0人，共计支出0万元。</w:t>
      </w:r>
    </w:p>
    <w:p>
      <w:pPr>
        <w:spacing w:line="600" w:lineRule="exact"/>
        <w:ind w:firstLine="640"/>
        <w:rPr>
          <w:rFonts w:ascii="仿宋" w:hAnsi="仿宋" w:eastAsia="仿宋"/>
          <w:b/>
          <w:color w:val="FF0000"/>
          <w:sz w:val="32"/>
          <w:szCs w:val="32"/>
        </w:rPr>
      </w:pPr>
      <w:r>
        <w:rPr>
          <w:rFonts w:hint="eastAsia" w:ascii="仿宋" w:hAnsi="仿宋" w:eastAsia="仿宋"/>
          <w:b/>
          <w:color w:val="FF0000"/>
          <w:sz w:val="32"/>
          <w:szCs w:val="32"/>
        </w:rPr>
        <w:t>（注：上述“预算”口径为调整预算数，包括政府性基金</w:t>
      </w:r>
      <w:r>
        <w:rPr>
          <w:rFonts w:hint="eastAsia" w:ascii="仿宋" w:hAnsi="仿宋" w:eastAsia="仿宋"/>
          <w:b/>
          <w:color w:val="FF0000"/>
          <w:sz w:val="32"/>
          <w:szCs w:val="32"/>
          <w:lang w:eastAsia="zh-CN"/>
        </w:rPr>
        <w:t>“三公”经费</w:t>
      </w:r>
      <w:r>
        <w:rPr>
          <w:rFonts w:hint="eastAsia" w:ascii="仿宋" w:hAnsi="仿宋" w:eastAsia="仿宋"/>
          <w:b/>
          <w:color w:val="FF0000"/>
          <w:sz w:val="32"/>
          <w:szCs w:val="32"/>
        </w:rPr>
        <w:t>支出决算情况。）</w:t>
      </w:r>
    </w:p>
    <w:p>
      <w:pPr>
        <w:spacing w:line="600" w:lineRule="exact"/>
        <w:ind w:firstLine="640"/>
        <w:outlineLvl w:val="1"/>
        <w:rPr>
          <w:rStyle w:val="26"/>
          <w:rFonts w:ascii="黑体" w:hAnsi="黑体" w:eastAsia="黑体"/>
        </w:rPr>
      </w:pPr>
      <w:bookmarkStart w:id="109" w:name="_Toc2147436383_WPSOffice_Level2"/>
      <w:bookmarkStart w:id="110" w:name="_Toc15396610"/>
      <w:bookmarkStart w:id="111" w:name="_Toc15377218"/>
      <w:r>
        <w:rPr>
          <w:rFonts w:hint="eastAsia" w:ascii="黑体" w:eastAsia="黑体"/>
          <w:color w:val="000000"/>
          <w:sz w:val="32"/>
          <w:szCs w:val="32"/>
          <w:lang w:eastAsia="zh-CN"/>
        </w:rPr>
        <w:t>九</w:t>
      </w:r>
      <w:r>
        <w:rPr>
          <w:rFonts w:hint="eastAsia" w:ascii="黑体" w:eastAsia="黑体"/>
          <w:color w:val="000000"/>
          <w:sz w:val="32"/>
          <w:szCs w:val="32"/>
        </w:rPr>
        <w:t>、</w:t>
      </w:r>
      <w:r>
        <w:rPr>
          <w:rStyle w:val="26"/>
          <w:rFonts w:hint="eastAsia" w:ascii="黑体" w:hAnsi="黑体" w:eastAsia="黑体"/>
          <w:b w:val="0"/>
        </w:rPr>
        <w:t>政府性基金预算支出决算情况说明</w:t>
      </w:r>
      <w:bookmarkEnd w:id="109"/>
      <w:bookmarkEnd w:id="110"/>
      <w:bookmarkEnd w:id="111"/>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numPr>
          <w:ilvl w:val="0"/>
          <w:numId w:val="0"/>
        </w:numPr>
        <w:spacing w:line="600" w:lineRule="exact"/>
        <w:ind w:firstLine="640" w:firstLineChars="200"/>
        <w:outlineLvl w:val="1"/>
        <w:rPr>
          <w:rStyle w:val="26"/>
          <w:rFonts w:ascii="黑体" w:hAnsi="黑体" w:eastAsia="黑体"/>
          <w:b w:val="0"/>
        </w:rPr>
      </w:pPr>
      <w:bookmarkStart w:id="112" w:name="_Toc298919235_WPSOffice_Level2"/>
      <w:bookmarkStart w:id="113" w:name="_Toc15396611"/>
      <w:bookmarkStart w:id="114" w:name="_Toc15377219"/>
      <w:r>
        <w:rPr>
          <w:rStyle w:val="26"/>
          <w:rFonts w:hint="eastAsia" w:ascii="黑体" w:hAnsi="黑体" w:eastAsia="黑体"/>
          <w:b w:val="0"/>
          <w:lang w:eastAsia="zh-CN"/>
        </w:rPr>
        <w:t>十、</w:t>
      </w:r>
      <w:r>
        <w:rPr>
          <w:rStyle w:val="26"/>
          <w:rFonts w:hint="eastAsia" w:ascii="黑体" w:hAnsi="黑体" w:eastAsia="黑体"/>
          <w:b w:val="0"/>
        </w:rPr>
        <w:t>国有资本经营预算支出决算情况说明</w:t>
      </w:r>
      <w:bookmarkEnd w:id="112"/>
      <w:bookmarkEnd w:id="113"/>
      <w:bookmarkEnd w:id="114"/>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left="0" w:leftChars="0" w:firstLine="640" w:firstLineChars="200"/>
        <w:outlineLvl w:val="1"/>
        <w:rPr>
          <w:rStyle w:val="26"/>
          <w:rFonts w:ascii="黑体" w:hAnsi="黑体" w:eastAsia="黑体"/>
        </w:rPr>
      </w:pPr>
      <w:bookmarkStart w:id="115" w:name="_Toc15396612"/>
      <w:bookmarkStart w:id="116" w:name="_Toc15377221"/>
      <w:bookmarkStart w:id="117" w:name="_Toc1069650118_WPSOffice_Level2"/>
      <w:r>
        <w:rPr>
          <w:rFonts w:hint="eastAsia" w:ascii="黑体" w:hAnsi="黑体" w:eastAsia="黑体"/>
          <w:color w:val="000000"/>
          <w:sz w:val="32"/>
          <w:szCs w:val="32"/>
        </w:rPr>
        <w:t>十</w:t>
      </w:r>
      <w:r>
        <w:rPr>
          <w:rFonts w:hint="eastAsia" w:ascii="黑体" w:hAnsi="黑体" w:eastAsia="黑体"/>
          <w:color w:val="000000"/>
          <w:sz w:val="32"/>
          <w:szCs w:val="32"/>
          <w:lang w:eastAsia="zh-CN"/>
        </w:rPr>
        <w:t>一</w:t>
      </w:r>
      <w:r>
        <w:rPr>
          <w:rStyle w:val="26"/>
          <w:rFonts w:hint="eastAsia" w:ascii="黑体" w:hAnsi="黑体" w:eastAsia="黑体"/>
        </w:rPr>
        <w:t>、</w:t>
      </w:r>
      <w:r>
        <w:rPr>
          <w:rStyle w:val="26"/>
          <w:rFonts w:hint="eastAsia" w:ascii="黑体" w:hAnsi="黑体" w:eastAsia="黑体"/>
          <w:b w:val="0"/>
        </w:rPr>
        <w:t>其他重要事项的情况说明</w:t>
      </w:r>
      <w:bookmarkEnd w:id="115"/>
      <w:bookmarkEnd w:id="116"/>
      <w:bookmarkEnd w:id="117"/>
    </w:p>
    <w:p>
      <w:pPr>
        <w:spacing w:line="600" w:lineRule="exact"/>
        <w:ind w:firstLine="642" w:firstLineChars="200"/>
        <w:outlineLvl w:val="2"/>
        <w:rPr>
          <w:rFonts w:ascii="仿宋" w:hAnsi="仿宋" w:eastAsia="仿宋"/>
          <w:color w:val="000000"/>
          <w:sz w:val="32"/>
          <w:szCs w:val="32"/>
        </w:rPr>
      </w:pPr>
      <w:bookmarkStart w:id="118" w:name="_Toc247599954_WPSOffice_Level3"/>
      <w:bookmarkStart w:id="119" w:name="_Toc15377222"/>
      <w:r>
        <w:rPr>
          <w:rFonts w:hint="eastAsia" w:ascii="仿宋" w:hAnsi="仿宋" w:eastAsia="仿宋"/>
          <w:b/>
          <w:color w:val="000000"/>
          <w:sz w:val="32"/>
          <w:szCs w:val="32"/>
        </w:rPr>
        <w:t>（一）机关运行经费支出情况</w:t>
      </w:r>
      <w:bookmarkEnd w:id="118"/>
      <w:bookmarkEnd w:id="119"/>
    </w:p>
    <w:p>
      <w:pPr>
        <w:spacing w:line="600" w:lineRule="exact"/>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年，机关</w:t>
      </w:r>
      <w:bookmarkStart w:id="177" w:name="_GoBack"/>
      <w:bookmarkEnd w:id="177"/>
      <w:r>
        <w:rPr>
          <w:rFonts w:hint="eastAsia" w:ascii="仿宋_GB2312" w:eastAsia="仿宋_GB2312"/>
          <w:color w:val="000000"/>
          <w:sz w:val="32"/>
          <w:szCs w:val="32"/>
        </w:rPr>
        <w:t>运行经费支出</w:t>
      </w:r>
      <w:r>
        <w:rPr>
          <w:rFonts w:hint="eastAsia" w:ascii="仿宋_GB2312" w:eastAsia="仿宋_GB2312"/>
          <w:color w:val="000000"/>
          <w:sz w:val="32"/>
          <w:szCs w:val="32"/>
          <w:lang w:val="en-US" w:eastAsia="zh-CN"/>
        </w:rPr>
        <w:t>3028.88</w:t>
      </w:r>
      <w:r>
        <w:rPr>
          <w:rFonts w:hint="eastAsia" w:ascii="仿宋_GB2312" w:eastAsia="仿宋_GB2312"/>
          <w:color w:val="000000"/>
          <w:sz w:val="32"/>
          <w:szCs w:val="32"/>
        </w:rPr>
        <w:t>万元，比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1579.79</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109.02</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w:t>
      </w:r>
      <w:r>
        <w:rPr>
          <w:rFonts w:hint="eastAsia" w:ascii="仿宋_GB2312" w:eastAsia="仿宋_GB2312"/>
          <w:color w:val="000000" w:themeColor="text1"/>
          <w:sz w:val="32"/>
          <w:szCs w:val="32"/>
          <w:lang w:eastAsia="zh-CN"/>
          <w14:textFill>
            <w14:solidFill>
              <w14:schemeClr w14:val="tx1"/>
            </w14:solidFill>
          </w14:textFill>
        </w:rPr>
        <w:t>培训量增加，培训开支增大。</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20" w:name="_Toc490562064_WPSOffice_Level3"/>
      <w:bookmarkStart w:id="121" w:name="_Toc15377223"/>
      <w:r>
        <w:rPr>
          <w:rFonts w:hint="eastAsia" w:ascii="仿宋" w:hAnsi="仿宋" w:eastAsia="仿宋"/>
          <w:b/>
          <w:color w:val="000000"/>
          <w:sz w:val="32"/>
          <w:szCs w:val="32"/>
        </w:rPr>
        <w:t>（二）政府采购支出情况</w:t>
      </w:r>
      <w:bookmarkEnd w:id="120"/>
      <w:bookmarkEnd w:id="121"/>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22" w:name="_Toc355401019_WPSOffice_Level3"/>
      <w:bookmarkStart w:id="123" w:name="_Toc15377224"/>
      <w:r>
        <w:rPr>
          <w:rFonts w:hint="eastAsia" w:ascii="仿宋" w:hAnsi="仿宋" w:eastAsia="仿宋"/>
          <w:b/>
          <w:color w:val="000000"/>
          <w:sz w:val="32"/>
          <w:szCs w:val="32"/>
        </w:rPr>
        <w:t>（三）国有资产占有使用情况</w:t>
      </w:r>
      <w:bookmarkEnd w:id="122"/>
      <w:bookmarkEnd w:id="123"/>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24" w:name="_Toc519372767_WPSOffice_Level3"/>
      <w:r>
        <w:rPr>
          <w:rFonts w:hint="eastAsia" w:ascii="仿宋" w:hAnsi="仿宋" w:eastAsia="仿宋"/>
          <w:b/>
          <w:color w:val="000000"/>
          <w:sz w:val="32"/>
          <w:szCs w:val="32"/>
        </w:rPr>
        <w:t>（四）预算绩效管理情况。</w:t>
      </w:r>
      <w:bookmarkEnd w:id="124"/>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年部门整体支出开展绩效自评，从评价情况来看</w:t>
      </w:r>
      <w:r>
        <w:rPr>
          <w:rFonts w:hint="eastAsia" w:ascii="仿宋_GB2312" w:hAnsi="仿宋_GB2312" w:eastAsia="仿宋_GB2312" w:cs="仿宋_GB2312"/>
          <w:sz w:val="32"/>
          <w:szCs w:val="32"/>
          <w:lang w:val="zh-CN"/>
        </w:rPr>
        <w:t>部门参照去年运行情况与今年实际状况编制严格编制整体绩效目标；执行时按照资金分配时效，支出与年初预算相结合，年末结余差距小，</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年总收入与总支出偏差率</w:t>
      </w:r>
      <w:r>
        <w:rPr>
          <w:rFonts w:hint="eastAsia" w:ascii="仿宋_GB2312" w:hAnsi="仿宋_GB2312" w:eastAsia="仿宋_GB2312" w:cs="仿宋_GB2312"/>
          <w:sz w:val="32"/>
          <w:szCs w:val="32"/>
          <w:lang w:eastAsia="zh-CN"/>
        </w:rPr>
        <w:t>较少</w:t>
      </w:r>
      <w:r>
        <w:rPr>
          <w:rFonts w:hint="eastAsia" w:ascii="仿宋_GB2312" w:hAnsi="仿宋_GB2312" w:eastAsia="仿宋_GB2312" w:cs="仿宋_GB2312"/>
          <w:sz w:val="32"/>
          <w:szCs w:val="32"/>
        </w:rPr>
        <w:t>，完成情况良好；</w:t>
      </w:r>
      <w:r>
        <w:rPr>
          <w:rFonts w:hint="eastAsia" w:ascii="仿宋_GB2312" w:hAnsi="仿宋_GB2312" w:eastAsia="仿宋_GB2312" w:cs="仿宋_GB2312"/>
          <w:sz w:val="32"/>
          <w:szCs w:val="32"/>
          <w:lang w:val="zh-CN"/>
        </w:rPr>
        <w:t>部门整体绩效效果较好，自查得分</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lang w:val="zh-CN"/>
        </w:rPr>
        <w:t>分。</w:t>
      </w:r>
      <w:r>
        <w:rPr>
          <w:rFonts w:hint="eastAsia" w:ascii="仿宋_GB2312" w:hAnsi="仿宋_GB2312" w:eastAsia="仿宋_GB2312" w:cs="仿宋_GB2312"/>
          <w:sz w:val="32"/>
          <w:szCs w:val="32"/>
        </w:rPr>
        <w:t>本部门无专项预算项目，因此未组织开展项目支出绩效评价。</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696"/>
        <w:gridCol w:w="515"/>
        <w:gridCol w:w="579"/>
        <w:gridCol w:w="2066"/>
        <w:gridCol w:w="2221"/>
        <w:gridCol w:w="716"/>
        <w:gridCol w:w="1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市级部门整体支出绩效评价指标体系（适用于部门整体无项目预算的部门）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绩效指标</w:t>
            </w:r>
          </w:p>
        </w:tc>
        <w:tc>
          <w:tcPr>
            <w:tcW w:w="2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指标分值</w:t>
            </w:r>
          </w:p>
        </w:tc>
        <w:tc>
          <w:tcPr>
            <w:tcW w:w="1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指标解释</w:t>
            </w:r>
          </w:p>
        </w:tc>
        <w:tc>
          <w:tcPr>
            <w:tcW w:w="14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计分标准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自评得分</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得（扣）分原因说明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2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c>
          <w:tcPr>
            <w:tcW w:w="1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c>
          <w:tcPr>
            <w:tcW w:w="14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0" w:hRule="atLeast"/>
        </w:trPr>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部门预算管理（80分）</w:t>
            </w:r>
          </w:p>
        </w:tc>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预算编制（30分）</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目标制定</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评价部门绩效目标是否要素完整、细化量化。</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1.绩效目标编制要素完整的，得5分，否则酌情扣分。                                                       2.绩效指标细化量化的，得5分，否则酌情扣分。                  有项目绩效目标的部门（单位），根据项目绩效目标编制质量打分，无项目绩效目标的部门，根据部门整体支出绩效目标打分。                                                                    </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部门整体绩效目标要素完整，涉及年度主要目标、数量、质量、时效等指标编制完整，并且对每一个目标做了金额的量化、任务的细化。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目标实现</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评价部门绩效目标实际实现程度与预期目标的偏离度。</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项目完成数量为核心，评价项目实际完成情况与预期绩效目标偏离度，单个数量指标实际完成未达到预期指标或超过预期指标30%以上的，均不计分。该项指标得分=达到预期值的数量指标个数/全部数量指标个数（即评价选取的项目绩效目标包含的所有数量指标）</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学院完成整体项目。完成院校扩建工程项目支出10155.86万元，二期工程主体工程已开工；完成图书采购    本，现存图书40399本；培训班学员，完成培训人数2.87万人，同比增加0.57万人。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0"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编制准确</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评价部门年初预算编制是否科学准确。</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指标得分=（1-（10×部门全年预算调剂金额/年初部门预算数））*指标分值。其中：若部门全年预算调剂金额/年初部门预算数&gt;0.1，此项得0分。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学院本年度无调剂金额。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预算执行（30分）</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支出控制</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部门公用经费及非定额公用支出控制情况。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计算部门日常公用经费、项目支出中“办公费、印刷费、水费、电费、物业管理费”等科目年初预算数与决算数偏差程度                                                              预决算偏差程度在10%以内的，得10分。偏差度在10%-20%之间的，得5分，偏差度超过20%的，不得分。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学院日常公用经费年初预算数与决算数偏差程度10%以内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0"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动态调整</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评价部门开展绩效运行监控后，将绩效监控结果应用到预算调整的情况。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1.当部门绩效监控调整取消额和结余注销额均不为零时，指标得分=部门项目支出绩效监控调整取消额÷(部门绩效监控调整取消额+预算结余注销额）*10                                                  2.当部门绩效监控调整取消额为零，结余注销额不为零时，指标得分=（1-10*结余注销额/年度预算总额）*10，结余注销额超过部门年度预算总额10%的，指标不得分。                  3.当部门绩效监控调整取消额与结余注销额均为零时，得满分。                                                             </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部门绩效监控调整取消额和结余注销额为零。小平干部学院未纳入财政全额拨款，年底需要申请资金用于第二年初开支。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5"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执行进度</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评价部门在6、9、11月的预算执行情况。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部门预算执行进度在6、9、11月应达到序时进度的80%、90%、90%，即实际支出进度分别达到40%、67.5%、82.5%。                                                     6、9、11月部门预算执行进度达到量化指标的分别得3、4、3分，未达到目标进度的按其实际进度占目标进度的比重计算得分。                                             </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7.12</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学院6月累计支出总金额为1082.86万元，占预算的25.42%；9月累计支出为2210.80万元，占预算的51.90%，11月累计支出59.13万元，占预算的83.96%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完成结果（20分）</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预算完成</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评价部门预算项目年终预算执行情况。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部门预算项目12月预算执行进度达到100%的，得10分，未达100%的，按照实际进度量化计算得分。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年底完成预算支付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违规记录</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根据审计监督、财政检查结果反映部门上一年度部门预算管理是否合规。</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依据评价年度审计监督、财政检查结果，出现部门预算管理方面违纪违规问题的，每个问题扣0.5分，直至扣完。</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依据评价年度审计监督、财政检查结果，部门预算管理方面无违纪违规问题。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绩效结果应用（10分）</w:t>
            </w:r>
          </w:p>
        </w:tc>
        <w:tc>
          <w:tcPr>
            <w:tcW w:w="280"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信息公开（2分)</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自评公开</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评价部门是否按要求将部门整体绩效自评情况和自行组织的评价情况向社会公开。</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按要求将相关绩效信息随同决算公开的，得2分，否则不得分。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学院按要求将相关绩效信息随同决算公开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整改反馈（8分）</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结果整改</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评价部门根据绩效管理结果整改问题、完善政策、改进管理的情况。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针对绩效管理过程中（包括绩效目标核查、绩效监控核查和重点绩效评价）提出的问题进行整改，将绩效管理结果应用于完善政策、改进管理、预算挂钩等的，得4分。否则，酌情扣分。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根绝学院2021年的绩效运行情况发现，单位内部业务部（室）与财务配合不紧密，部分部（室）预算执行能力差，2022实行各部（室）预算本年度支出，报财务室统一汇总。对预算执行较慢的部（室）进行通报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应用反馈</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评价部门按要求及时向财政部门反馈结果应用情况。</w:t>
            </w: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部门在规定时间内向财政部门反馈应用绩效结果报告的，得满分，否则不得分。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学院按照要求在规定时间内向财政部门反馈应用绩效结果报告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自评质量（10分）</w:t>
            </w:r>
          </w:p>
        </w:tc>
        <w:tc>
          <w:tcPr>
            <w:tcW w:w="280"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自评质量（10分）</w:t>
            </w:r>
          </w:p>
        </w:tc>
        <w:tc>
          <w:tcPr>
            <w:tcW w:w="44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自评准确</w:t>
            </w:r>
          </w:p>
        </w:tc>
        <w:tc>
          <w:tcPr>
            <w:tcW w:w="293"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5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评价部门整体支出自评准确率。</w:t>
            </w:r>
          </w:p>
        </w:tc>
        <w:tc>
          <w:tcPr>
            <w:tcW w:w="144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部门整体支出自评得分与评价组抽查得分差异在5%以内的，不扣分；在5%-10%之间的，扣4分，在10%-20%的，扣8分，在20%以上的，扣10分。（部门在自评时，此项指标无需打分，部门自评满分为90分）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4"/>
                <w:szCs w:val="24"/>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100</w:t>
            </w:r>
          </w:p>
        </w:tc>
        <w:tc>
          <w:tcPr>
            <w:tcW w:w="13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000000"/>
                <w:sz w:val="24"/>
                <w:szCs w:val="24"/>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000000"/>
                <w:sz w:val="16"/>
                <w:szCs w:val="16"/>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87.12</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000000"/>
                <w:sz w:val="24"/>
                <w:szCs w:val="24"/>
                <w:u w:val="none"/>
              </w:rPr>
            </w:pP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4"/>
        </w:numPr>
        <w:spacing w:line="600" w:lineRule="exact"/>
        <w:ind w:firstLine="660" w:firstLineChars="150"/>
        <w:jc w:val="center"/>
        <w:outlineLvl w:val="0"/>
        <w:rPr>
          <w:rStyle w:val="25"/>
          <w:rFonts w:ascii="黑体" w:hAnsi="黑体" w:eastAsia="黑体"/>
          <w:b w:val="0"/>
        </w:rPr>
      </w:pPr>
      <w:bookmarkStart w:id="125" w:name="_Toc15396613"/>
      <w:bookmarkStart w:id="126" w:name="_Toc1902524914_WPSOffice_Level1"/>
      <w:bookmarkStart w:id="127" w:name="_Toc15377225"/>
      <w:r>
        <w:rPr>
          <w:rFonts w:hint="eastAsia" w:ascii="黑体" w:hAnsi="黑体" w:eastAsia="黑体"/>
          <w:color w:val="000000"/>
          <w:sz w:val="44"/>
          <w:szCs w:val="44"/>
        </w:rPr>
        <w:t>名</w:t>
      </w:r>
      <w:r>
        <w:rPr>
          <w:rStyle w:val="25"/>
          <w:rFonts w:hint="eastAsia" w:ascii="黑体" w:hAnsi="黑体" w:eastAsia="黑体"/>
          <w:b w:val="0"/>
        </w:rPr>
        <w:t>词解释</w:t>
      </w:r>
      <w:bookmarkEnd w:id="125"/>
      <w:bookmarkEnd w:id="126"/>
      <w:bookmarkEnd w:id="127"/>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教育（类）进修及培训（款）干部教育（项）</w:t>
      </w:r>
      <w:r>
        <w:rPr>
          <w:rFonts w:hint="eastAsia" w:ascii="仿宋_GB2312" w:eastAsia="仿宋_GB2312"/>
          <w:sz w:val="32"/>
          <w:szCs w:val="32"/>
          <w:lang w:eastAsia="zh-CN"/>
        </w:rPr>
        <w:t>：</w:t>
      </w:r>
      <w:r>
        <w:rPr>
          <w:rFonts w:hint="eastAsia" w:ascii="仿宋_GB2312" w:eastAsia="仿宋_GB2312"/>
          <w:sz w:val="32"/>
          <w:szCs w:val="32"/>
        </w:rPr>
        <w:t>指</w:t>
      </w:r>
      <w:r>
        <w:rPr>
          <w:rFonts w:hint="eastAsia" w:ascii="仿宋_GB2312" w:eastAsia="仿宋_GB2312"/>
          <w:sz w:val="32"/>
          <w:szCs w:val="32"/>
          <w:lang w:eastAsia="zh-CN"/>
        </w:rPr>
        <w:t>反映各级党校、行政学院、社会主义学院、国家会计学院的支出。包括机构运转、招聘师资、举办各类培训班的支出等</w:t>
      </w:r>
      <w:r>
        <w:rPr>
          <w:rFonts w:hint="eastAsia" w:ascii="仿宋_GB2312" w:eastAsia="仿宋_GB2312"/>
          <w:sz w:val="32"/>
          <w:szCs w:val="32"/>
        </w:rPr>
        <w:t>。</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社会保障和就业（类）行政事业单位养老支出（款）机关事业单位基本养老保险缴费支出（项）</w:t>
      </w:r>
      <w:r>
        <w:rPr>
          <w:rFonts w:hint="eastAsia" w:ascii="仿宋_GB2312" w:eastAsia="仿宋_GB2312"/>
          <w:sz w:val="32"/>
          <w:szCs w:val="32"/>
          <w:lang w:eastAsia="zh-CN"/>
        </w:rPr>
        <w:t>。指反映机关事业单位实施养老保险制度由单位缴纳的基本养老保险费支出。</w:t>
      </w:r>
    </w:p>
    <w:p>
      <w:pPr>
        <w:pStyle w:val="23"/>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1</w:t>
      </w:r>
      <w:r>
        <w:rPr>
          <w:rFonts w:hint="eastAsia" w:ascii="仿宋_GB2312" w:eastAsia="仿宋_GB2312"/>
          <w:sz w:val="32"/>
          <w:szCs w:val="32"/>
        </w:rPr>
        <w:t>.社会保障和就业（类）行政事业单位养老支出（款） 行政单位离退</w:t>
      </w:r>
      <w:r>
        <w:rPr>
          <w:rStyle w:val="15"/>
          <w:rFonts w:hint="eastAsia" w:ascii="仿宋" w:hAnsi="仿宋" w:eastAsia="仿宋"/>
          <w:b w:val="0"/>
          <w:bCs/>
          <w:color w:val="000000"/>
          <w:sz w:val="32"/>
          <w:szCs w:val="32"/>
        </w:rPr>
        <w:t>休（项）</w:t>
      </w:r>
      <w:r>
        <w:rPr>
          <w:rStyle w:val="15"/>
          <w:rFonts w:hint="eastAsia" w:ascii="仿宋" w:hAnsi="仿宋" w:eastAsia="仿宋"/>
          <w:b w:val="0"/>
          <w:bCs/>
          <w:color w:val="000000"/>
          <w:sz w:val="32"/>
          <w:szCs w:val="32"/>
          <w:lang w:eastAsia="zh-CN"/>
        </w:rPr>
        <w:t>。</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反映实行归口管理的行政单位（包括实行公务员管理的事业单位）</w:t>
      </w:r>
      <w:r>
        <w:rPr>
          <w:rFonts w:hint="eastAsia" w:ascii="仿宋_GB2312" w:eastAsia="仿宋_GB2312"/>
          <w:color w:val="000000"/>
          <w:sz w:val="32"/>
          <w:szCs w:val="32"/>
        </w:rPr>
        <w:t>。</w:t>
      </w:r>
      <w:r>
        <w:rPr>
          <w:rFonts w:hint="eastAsia" w:ascii="仿宋_GB2312" w:eastAsia="仿宋_GB2312"/>
          <w:color w:val="000000"/>
          <w:sz w:val="32"/>
          <w:szCs w:val="32"/>
          <w:lang w:eastAsia="zh-CN"/>
        </w:rPr>
        <w:t>开支的离退休经费。</w:t>
      </w:r>
    </w:p>
    <w:p>
      <w:pPr>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2</w:t>
      </w:r>
      <w:r>
        <w:rPr>
          <w:rFonts w:ascii="仿宋_GB2312" w:eastAsia="仿宋_GB2312"/>
          <w:color w:val="000000"/>
          <w:sz w:val="32"/>
          <w:szCs w:val="32"/>
        </w:rPr>
        <w:t>.</w:t>
      </w:r>
      <w:r>
        <w:rPr>
          <w:rStyle w:val="15"/>
          <w:rFonts w:hint="eastAsia" w:ascii="仿宋" w:hAnsi="仿宋" w:eastAsia="仿宋"/>
          <w:b w:val="0"/>
          <w:bCs/>
          <w:color w:val="000000"/>
          <w:sz w:val="32"/>
          <w:szCs w:val="32"/>
        </w:rPr>
        <w:t>卫生健康（类）行政事业单位医疗（款）行政单位医疗（项）: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反映财政部门安排的行政单位（包括实行公务员管理的事业单位）基本医疗保险缴费经费，未参加医疗保险的行政单位的公费医疗经费，按国家规定享受离休人员、红军老战士待遇人员的医疗经费</w:t>
      </w: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highlight w:val="none"/>
        </w:rPr>
      </w:pPr>
      <w:r>
        <w:rPr>
          <w:rFonts w:hint="eastAsia" w:ascii="仿宋" w:hAnsi="仿宋" w:eastAsia="仿宋"/>
          <w:b/>
          <w:color w:val="000000"/>
          <w:sz w:val="32"/>
          <w:szCs w:val="32"/>
        </w:rPr>
        <w:t>（解释本部门决</w:t>
      </w:r>
      <w:r>
        <w:rPr>
          <w:rFonts w:hint="eastAsia" w:ascii="仿宋" w:hAnsi="仿宋" w:eastAsia="仿宋"/>
          <w:b/>
          <w:color w:val="000000"/>
          <w:sz w:val="32"/>
          <w:szCs w:val="32"/>
          <w:highlight w:val="none"/>
        </w:rPr>
        <w:t>算报表中全部功能分类科目至项级，请参照《</w:t>
      </w:r>
      <w:r>
        <w:rPr>
          <w:rFonts w:ascii="仿宋" w:hAnsi="仿宋" w:eastAsia="仿宋"/>
          <w:b/>
          <w:color w:val="000000"/>
          <w:sz w:val="32"/>
          <w:szCs w:val="32"/>
          <w:highlight w:val="none"/>
        </w:rPr>
        <w:t>20</w:t>
      </w:r>
      <w:r>
        <w:rPr>
          <w:rFonts w:hint="eastAsia" w:ascii="仿宋" w:hAnsi="仿宋" w:eastAsia="仿宋"/>
          <w:b/>
          <w:color w:val="000000"/>
          <w:sz w:val="32"/>
          <w:szCs w:val="32"/>
          <w:highlight w:val="none"/>
        </w:rPr>
        <w:t>2</w:t>
      </w:r>
      <w:r>
        <w:rPr>
          <w:rFonts w:hint="eastAsia" w:ascii="仿宋" w:hAnsi="仿宋" w:eastAsia="仿宋"/>
          <w:b/>
          <w:color w:val="000000"/>
          <w:sz w:val="32"/>
          <w:szCs w:val="32"/>
          <w:highlight w:val="none"/>
          <w:lang w:val="en-US" w:eastAsia="zh-CN"/>
        </w:rPr>
        <w:t>1</w:t>
      </w:r>
      <w:r>
        <w:rPr>
          <w:rFonts w:hint="eastAsia" w:ascii="仿宋" w:hAnsi="仿宋" w:eastAsia="仿宋"/>
          <w:b/>
          <w:color w:val="000000"/>
          <w:sz w:val="32"/>
          <w:szCs w:val="32"/>
          <w:highlight w:val="none"/>
        </w:rPr>
        <w:t>年政府收支分类科目》</w:t>
      </w:r>
      <w:r>
        <w:rPr>
          <w:rFonts w:hint="eastAsia" w:ascii="仿宋" w:hAnsi="仿宋" w:eastAsia="仿宋"/>
          <w:b/>
          <w:color w:val="000000"/>
          <w:sz w:val="32"/>
          <w:szCs w:val="32"/>
          <w:highlight w:val="none"/>
          <w:lang w:eastAsia="zh-CN"/>
        </w:rPr>
        <w:t>编写</w:t>
      </w:r>
      <w:r>
        <w:rPr>
          <w:rFonts w:hint="eastAsia" w:ascii="仿宋" w:hAnsi="仿宋" w:eastAsia="仿宋"/>
          <w:b/>
          <w:color w:val="000000"/>
          <w:sz w:val="32"/>
          <w:szCs w:val="32"/>
          <w:highlight w:val="none"/>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13</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14</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15</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2" w:firstLineChars="200"/>
        <w:rPr>
          <w:rFonts w:ascii="仿宋" w:hAnsi="仿宋" w:eastAsia="仿宋"/>
          <w:b/>
          <w:color w:val="000000"/>
          <w:sz w:val="32"/>
          <w:szCs w:val="32"/>
          <w:highlight w:val="none"/>
        </w:rPr>
      </w:pPr>
      <w:r>
        <w:rPr>
          <w:rFonts w:hint="eastAsia" w:ascii="仿宋" w:hAnsi="仿宋" w:eastAsia="仿宋"/>
          <w:b/>
          <w:color w:val="000000"/>
          <w:sz w:val="32"/>
          <w:szCs w:val="32"/>
          <w:highlight w:val="none"/>
        </w:rPr>
        <w:t>（名词解释部分请根据各部门实际列支情况罗列，并根据本部门职责职能增减名词解释内容。）</w:t>
      </w:r>
    </w:p>
    <w:p>
      <w:pPr>
        <w:spacing w:line="600" w:lineRule="exact"/>
        <w:jc w:val="center"/>
        <w:outlineLvl w:val="0"/>
        <w:rPr>
          <w:rStyle w:val="25"/>
          <w:rFonts w:ascii="黑体" w:hAnsi="黑体" w:eastAsia="黑体"/>
          <w:b w:val="0"/>
        </w:rPr>
      </w:pPr>
      <w:bookmarkStart w:id="128" w:name="_Toc15377226"/>
      <w:r>
        <w:rPr>
          <w:rFonts w:ascii="宋体"/>
          <w:b/>
          <w:color w:val="000000"/>
          <w:sz w:val="44"/>
          <w:szCs w:val="44"/>
        </w:rPr>
        <w:br w:type="page"/>
      </w:r>
      <w:bookmarkStart w:id="129" w:name="_Toc15396614"/>
      <w:bookmarkStart w:id="130" w:name="_Toc610118549_WPSOffice_Level1"/>
      <w:r>
        <w:rPr>
          <w:rFonts w:hint="eastAsia" w:ascii="黑体" w:hAnsi="黑体" w:eastAsia="黑体"/>
          <w:color w:val="000000"/>
          <w:sz w:val="44"/>
          <w:szCs w:val="44"/>
        </w:rPr>
        <w:t>第</w:t>
      </w:r>
      <w:r>
        <w:rPr>
          <w:rStyle w:val="25"/>
          <w:rFonts w:hint="eastAsia" w:ascii="黑体" w:hAnsi="黑体" w:eastAsia="黑体"/>
          <w:b w:val="0"/>
        </w:rPr>
        <w:t>四部分 附件</w:t>
      </w:r>
      <w:bookmarkEnd w:id="129"/>
      <w:bookmarkEnd w:id="130"/>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hint="eastAsia" w:ascii="方正小标宋简体" w:hAnsi="宋体" w:eastAsia="方正小标宋简体"/>
          <w:color w:val="000000"/>
          <w:kern w:val="0"/>
          <w:sz w:val="40"/>
          <w:szCs w:val="44"/>
          <w:lang w:val="zh-CN"/>
        </w:rPr>
      </w:pPr>
      <w:bookmarkStart w:id="131" w:name="_Toc1703542549_WPSOffice_Level2"/>
      <w:r>
        <w:rPr>
          <w:rFonts w:ascii="方正小标宋简体" w:hAnsi="宋体" w:eastAsia="方正小标宋简体"/>
          <w:color w:val="000000"/>
          <w:kern w:val="0"/>
          <w:sz w:val="40"/>
          <w:szCs w:val="44"/>
        </w:rPr>
        <w:t>20</w:t>
      </w:r>
      <w:r>
        <w:rPr>
          <w:rFonts w:hint="eastAsia" w:ascii="方正小标宋简体" w:hAnsi="宋体" w:eastAsia="方正小标宋简体"/>
          <w:color w:val="000000"/>
          <w:kern w:val="0"/>
          <w:sz w:val="40"/>
          <w:szCs w:val="44"/>
        </w:rPr>
        <w:t>2</w:t>
      </w:r>
      <w:r>
        <w:rPr>
          <w:rFonts w:hint="eastAsia" w:ascii="方正小标宋简体" w:hAnsi="宋体" w:eastAsia="方正小标宋简体"/>
          <w:color w:val="000000"/>
          <w:kern w:val="0"/>
          <w:sz w:val="40"/>
          <w:szCs w:val="44"/>
          <w:lang w:val="en-US" w:eastAsia="zh-CN"/>
        </w:rPr>
        <w:t>1</w:t>
      </w:r>
      <w:r>
        <w:rPr>
          <w:rFonts w:ascii="方正小标宋简体" w:hAnsi="宋体" w:eastAsia="方正小标宋简体"/>
          <w:color w:val="000000"/>
          <w:kern w:val="0"/>
          <w:sz w:val="40"/>
          <w:szCs w:val="44"/>
        </w:rPr>
        <w:t>年</w:t>
      </w:r>
      <w:r>
        <w:rPr>
          <w:rFonts w:hint="eastAsia" w:ascii="方正小标宋简体" w:hAnsi="宋体" w:eastAsia="方正小标宋简体"/>
          <w:color w:val="000000"/>
          <w:kern w:val="0"/>
          <w:sz w:val="40"/>
          <w:szCs w:val="44"/>
          <w:lang w:eastAsia="zh-CN"/>
        </w:rPr>
        <w:t>小平干部学院单位</w:t>
      </w:r>
      <w:r>
        <w:rPr>
          <w:rFonts w:hint="eastAsia" w:ascii="方正小标宋简体" w:hAnsi="宋体" w:eastAsia="方正小标宋简体"/>
          <w:color w:val="000000"/>
          <w:kern w:val="0"/>
          <w:sz w:val="40"/>
          <w:szCs w:val="44"/>
          <w:lang w:val="zh-CN"/>
        </w:rPr>
        <w:t>整体支出绩效评价</w:t>
      </w:r>
      <w:bookmarkEnd w:id="131"/>
    </w:p>
    <w:p>
      <w:pPr>
        <w:spacing w:line="600" w:lineRule="exact"/>
        <w:jc w:val="center"/>
        <w:rPr>
          <w:rFonts w:ascii="方正小标宋简体" w:hAnsi="宋体" w:eastAsia="方正小标宋简体"/>
          <w:color w:val="000000"/>
          <w:kern w:val="0"/>
          <w:sz w:val="40"/>
          <w:szCs w:val="44"/>
          <w:lang w:val="zh-CN"/>
        </w:rPr>
      </w:pPr>
      <w:bookmarkStart w:id="132" w:name="_Toc2109017396_WPSOffice_Level2"/>
      <w:r>
        <w:rPr>
          <w:rFonts w:hint="eastAsia" w:ascii="方正小标宋简体" w:hAnsi="宋体" w:eastAsia="方正小标宋简体"/>
          <w:color w:val="000000"/>
          <w:kern w:val="0"/>
          <w:sz w:val="40"/>
          <w:szCs w:val="44"/>
          <w:lang w:val="zh-CN"/>
        </w:rPr>
        <w:t>报告</w:t>
      </w:r>
      <w:bookmarkEnd w:id="132"/>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ascii="方正黑体_GBK" w:hAnsi="宋体" w:eastAsia="方正黑体_GBK" w:cs="宋体"/>
          <w:color w:val="000000"/>
          <w:kern w:val="0"/>
          <w:sz w:val="33"/>
          <w:szCs w:val="33"/>
          <w:shd w:val="clear" w:color="auto" w:fill="FFFFFF"/>
          <w:lang w:val="zh-CN"/>
        </w:rPr>
      </w:pPr>
      <w:bookmarkStart w:id="133" w:name="_Toc1846234568_WPSOffice_Level2"/>
      <w:r>
        <w:rPr>
          <w:rFonts w:hint="eastAsia" w:ascii="方正黑体_GBK" w:hAnsi="宋体" w:eastAsia="方正黑体_GBK" w:cs="宋体"/>
          <w:color w:val="000000"/>
          <w:kern w:val="0"/>
          <w:sz w:val="33"/>
          <w:szCs w:val="33"/>
          <w:shd w:val="clear" w:color="auto" w:fill="FFFFFF"/>
        </w:rPr>
        <w:t>一、</w:t>
      </w:r>
      <w:r>
        <w:rPr>
          <w:rFonts w:hint="eastAsia" w:ascii="方正黑体_GBK" w:hAnsi="宋体" w:eastAsia="方正黑体_GBK" w:cs="宋体"/>
          <w:color w:val="000000"/>
          <w:kern w:val="0"/>
          <w:sz w:val="33"/>
          <w:szCs w:val="33"/>
          <w:shd w:val="clear" w:color="auto" w:fill="FFFFFF"/>
          <w:lang w:val="zh-CN"/>
        </w:rPr>
        <w:t>部门（单位）概况</w:t>
      </w:r>
      <w:bookmarkEnd w:id="133"/>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34" w:name="_Toc2147436383_WPSOffice_Level3"/>
      <w:r>
        <w:rPr>
          <w:rFonts w:hint="default" w:ascii="Times New Roman" w:hAnsi="Times New Roman" w:eastAsia="方正仿宋_GBK" w:cs="Times New Roman"/>
          <w:color w:val="000000"/>
          <w:kern w:val="0"/>
          <w:sz w:val="33"/>
          <w:szCs w:val="33"/>
          <w:shd w:val="clear" w:color="auto" w:fill="FFFFFF"/>
          <w:lang w:val="zh-CN"/>
        </w:rPr>
        <w:t>（一）机构组成。</w:t>
      </w:r>
      <w:bookmarkEnd w:id="134"/>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en-US" w:eastAsia="zh-CN"/>
        </w:rPr>
        <w:t>小平干部学院属一级预算单位。2021年内设机构</w:t>
      </w:r>
      <w:r>
        <w:rPr>
          <w:rFonts w:hint="eastAsia" w:eastAsia="方正仿宋_GBK" w:cs="Times New Roman"/>
          <w:color w:val="000000"/>
          <w:kern w:val="0"/>
          <w:sz w:val="33"/>
          <w:szCs w:val="33"/>
          <w:shd w:val="clear" w:color="auto" w:fill="FFFFFF"/>
          <w:lang w:val="en-US" w:eastAsia="zh-CN"/>
        </w:rPr>
        <w:t>13个</w:t>
      </w:r>
      <w:r>
        <w:rPr>
          <w:rFonts w:hint="default" w:ascii="Times New Roman" w:hAnsi="Times New Roman" w:eastAsia="方正仿宋_GBK" w:cs="Times New Roman"/>
          <w:color w:val="000000"/>
          <w:kern w:val="0"/>
          <w:sz w:val="33"/>
          <w:szCs w:val="33"/>
          <w:shd w:val="clear" w:color="auto" w:fill="FFFFFF"/>
          <w:lang w:val="en-US" w:eastAsia="zh-CN"/>
        </w:rPr>
        <w:t>有办公室、教务部、培训部、</w:t>
      </w:r>
      <w:r>
        <w:rPr>
          <w:rFonts w:hint="eastAsia" w:eastAsia="方正仿宋_GBK" w:cs="Times New Roman"/>
          <w:color w:val="000000"/>
          <w:kern w:val="0"/>
          <w:sz w:val="33"/>
          <w:szCs w:val="33"/>
          <w:shd w:val="clear" w:color="auto" w:fill="FFFFFF"/>
          <w:lang w:val="en-US" w:eastAsia="zh-CN"/>
        </w:rPr>
        <w:t>科</w:t>
      </w:r>
      <w:r>
        <w:rPr>
          <w:rFonts w:hint="default" w:ascii="Times New Roman" w:hAnsi="Times New Roman" w:eastAsia="方正仿宋_GBK" w:cs="Times New Roman"/>
          <w:color w:val="000000"/>
          <w:kern w:val="0"/>
          <w:sz w:val="33"/>
          <w:szCs w:val="33"/>
          <w:shd w:val="clear" w:color="auto" w:fill="FFFFFF"/>
          <w:lang w:val="en-US" w:eastAsia="zh-CN"/>
        </w:rPr>
        <w:t>研部、</w:t>
      </w:r>
      <w:r>
        <w:rPr>
          <w:rFonts w:hint="eastAsia" w:eastAsia="方正仿宋_GBK" w:cs="Times New Roman"/>
          <w:color w:val="000000"/>
          <w:kern w:val="0"/>
          <w:sz w:val="33"/>
          <w:szCs w:val="33"/>
          <w:shd w:val="clear" w:color="auto" w:fill="FFFFFF"/>
          <w:lang w:val="en-US" w:eastAsia="zh-CN"/>
        </w:rPr>
        <w:t>马克思主义基础理论教研部、党史党建教研部、经济与管理教研部、</w:t>
      </w:r>
      <w:r>
        <w:rPr>
          <w:rFonts w:hint="default" w:ascii="Times New Roman" w:hAnsi="Times New Roman" w:eastAsia="方正仿宋_GBK" w:cs="Times New Roman"/>
          <w:color w:val="000000"/>
          <w:kern w:val="0"/>
          <w:sz w:val="33"/>
          <w:szCs w:val="33"/>
          <w:shd w:val="clear" w:color="auto" w:fill="FFFFFF"/>
          <w:lang w:val="en-US" w:eastAsia="zh-CN"/>
        </w:rPr>
        <w:t>对外合作部、邓小平研究中心、信息技术部、业务指导部、</w:t>
      </w:r>
      <w:r>
        <w:rPr>
          <w:rFonts w:hint="eastAsia" w:eastAsia="方正仿宋_GBK" w:cs="Times New Roman"/>
          <w:color w:val="000000"/>
          <w:kern w:val="0"/>
          <w:sz w:val="33"/>
          <w:szCs w:val="33"/>
          <w:shd w:val="clear" w:color="auto" w:fill="FFFFFF"/>
          <w:lang w:val="en-US" w:eastAsia="zh-CN"/>
        </w:rPr>
        <w:t>财务室</w:t>
      </w:r>
      <w:r>
        <w:rPr>
          <w:rFonts w:hint="default" w:ascii="Times New Roman" w:hAnsi="Times New Roman" w:eastAsia="方正仿宋_GBK" w:cs="Times New Roman"/>
          <w:color w:val="000000"/>
          <w:kern w:val="0"/>
          <w:sz w:val="33"/>
          <w:szCs w:val="33"/>
          <w:shd w:val="clear" w:color="auto" w:fill="FFFFFF"/>
          <w:lang w:val="en-US" w:eastAsia="zh-CN"/>
        </w:rPr>
        <w:t>和后勤保障部。</w:t>
      </w:r>
    </w:p>
    <w:p>
      <w:pPr>
        <w:keepNext w:val="0"/>
        <w:keepLines w:val="0"/>
        <w:pageBreakBefore w:val="0"/>
        <w:widowControl/>
        <w:numPr>
          <w:ilvl w:val="0"/>
          <w:numId w:val="5"/>
        </w:numPr>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35" w:name="_Toc298919235_WPSOffice_Level3"/>
      <w:r>
        <w:rPr>
          <w:rFonts w:hint="default" w:ascii="Times New Roman" w:hAnsi="Times New Roman" w:eastAsia="方正仿宋_GBK" w:cs="Times New Roman"/>
          <w:color w:val="000000"/>
          <w:kern w:val="0"/>
          <w:sz w:val="33"/>
          <w:szCs w:val="33"/>
          <w:shd w:val="clear" w:color="auto" w:fill="FFFFFF"/>
          <w:lang w:val="zh-CN"/>
        </w:rPr>
        <w:t>机构职能。</w:t>
      </w:r>
      <w:bookmarkEnd w:id="135"/>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xml:space="preserve">小平干部学院是市委直接领导下培养党员领导干部和理论干部的学校，是市委的重要部门，是培训轮训党员领导干部的主渠道，是党的哲学社会科学研究机构。基本职能如下： </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cs="Times New Roman"/>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发挥好全国干部党性教育基地作用,面向国内国(境)外开展多种形式的委托培训和合作培训；学习、宣传、研究中国特色社会主义理论体系,围绕重大理论、重大现实和相关学科前沿问题开展哲学社会科学研究,开展决策咨询；充分利用以邓小平故里、华蓥山武装斗争为核心的优势红色资源,培育和打造全国党性救育品牌；开展与国内国(境)外救育、培训、研究等机构和组织的交流与合作；按照干部教育培训规划，有计划地培训、轮训党员领导干部、中青年后备干部和理论宣传骨干等群体；接受上级党校和高校委托，开展在职研究生教育及其他上级交办的任务。</w:t>
      </w:r>
    </w:p>
    <w:p>
      <w:pPr>
        <w:keepNext w:val="0"/>
        <w:keepLines w:val="0"/>
        <w:pageBreakBefore w:val="0"/>
        <w:widowControl/>
        <w:numPr>
          <w:ilvl w:val="0"/>
          <w:numId w:val="5"/>
        </w:numPr>
        <w:kinsoku/>
        <w:overflowPunct/>
        <w:topLinePunct w:val="0"/>
        <w:autoSpaceDE/>
        <w:autoSpaceDN/>
        <w:bidi w:val="0"/>
        <w:adjustRightInd w:val="0"/>
        <w:snapToGrid w:val="0"/>
        <w:spacing w:line="590" w:lineRule="exact"/>
        <w:ind w:left="0" w:leftChars="0"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36" w:name="_Toc1069650118_WPSOffice_Level3"/>
      <w:r>
        <w:rPr>
          <w:rFonts w:hint="default" w:ascii="Times New Roman" w:hAnsi="Times New Roman" w:eastAsia="方正仿宋_GBK" w:cs="Times New Roman"/>
          <w:color w:val="000000"/>
          <w:kern w:val="0"/>
          <w:sz w:val="33"/>
          <w:szCs w:val="33"/>
          <w:shd w:val="clear" w:color="auto" w:fill="FFFFFF"/>
          <w:lang w:val="zh-CN"/>
        </w:rPr>
        <w:t>人员概况。</w:t>
      </w:r>
      <w:bookmarkEnd w:id="136"/>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eastAsia="zh-CN"/>
        </w:rPr>
      </w:pPr>
      <w:r>
        <w:rPr>
          <w:rFonts w:hint="default" w:ascii="Times New Roman" w:hAnsi="Times New Roman" w:eastAsia="方正仿宋_GBK" w:cs="Times New Roman"/>
          <w:color w:val="000000"/>
          <w:kern w:val="0"/>
          <w:sz w:val="33"/>
          <w:szCs w:val="33"/>
          <w:shd w:val="clear" w:color="auto" w:fill="FFFFFF"/>
          <w:lang w:val="en-US" w:eastAsia="zh-CN"/>
        </w:rPr>
        <w:t>2021年在职参公人员15人，在职事业人员24人，退休人员9人，共计48人。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bookmarkStart w:id="137" w:name="_Toc2121679929_WPSOffice_Level2"/>
      <w:r>
        <w:rPr>
          <w:rFonts w:hint="default" w:ascii="Times New Roman" w:hAnsi="Times New Roman" w:eastAsia="方正黑体_GBK" w:cs="Times New Roman"/>
          <w:color w:val="000000"/>
          <w:kern w:val="0"/>
          <w:sz w:val="33"/>
          <w:szCs w:val="33"/>
          <w:shd w:val="clear" w:color="auto" w:fill="FFFFFF"/>
        </w:rPr>
        <w:t>二、部门财政资金收支情况</w:t>
      </w:r>
      <w:bookmarkEnd w:id="137"/>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38" w:name="_Toc1703542549_WPSOffice_Level3"/>
      <w:r>
        <w:rPr>
          <w:rFonts w:hint="default" w:ascii="Times New Roman" w:hAnsi="Times New Roman" w:eastAsia="方正仿宋_GBK" w:cs="Times New Roman"/>
          <w:color w:val="000000"/>
          <w:kern w:val="0"/>
          <w:sz w:val="33"/>
          <w:szCs w:val="33"/>
          <w:shd w:val="clear" w:color="auto" w:fill="FFFFFF"/>
          <w:lang w:val="zh-CN"/>
        </w:rPr>
        <w:t>（一）部门财政资金收入情况。</w:t>
      </w:r>
      <w:bookmarkEnd w:id="138"/>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keepNext w:val="0"/>
        <w:keepLines w:val="0"/>
        <w:pageBreakBefore w:val="0"/>
        <w:widowControl/>
        <w:numPr>
          <w:ilvl w:val="0"/>
          <w:numId w:val="6"/>
        </w:numPr>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39" w:name="_Toc2109017396_WPSOffice_Level3"/>
      <w:r>
        <w:rPr>
          <w:rFonts w:hint="default" w:ascii="Times New Roman" w:hAnsi="Times New Roman" w:eastAsia="方正仿宋_GBK" w:cs="Times New Roman"/>
          <w:color w:val="000000"/>
          <w:kern w:val="0"/>
          <w:sz w:val="33"/>
          <w:szCs w:val="33"/>
          <w:shd w:val="clear" w:color="auto" w:fill="FFFFFF"/>
          <w:lang w:val="zh-CN"/>
        </w:rPr>
        <w:t>部门财政资金支出情况。</w:t>
      </w:r>
      <w:bookmarkEnd w:id="139"/>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13584.35</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3483.07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10101.27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74</w:t>
      </w:r>
      <w:r>
        <w:rPr>
          <w:rFonts w:ascii="仿宋" w:hAnsi="仿宋" w:eastAsia="仿宋"/>
          <w:color w:val="000000"/>
          <w:sz w:val="32"/>
          <w:szCs w:val="32"/>
        </w:rPr>
        <w:t>%</w:t>
      </w:r>
      <w:r>
        <w:rPr>
          <w:rFonts w:hint="eastAsia" w:ascii="仿宋" w:hAnsi="仿宋" w:eastAsia="仿宋"/>
          <w:color w:val="000000"/>
          <w:sz w:val="32"/>
          <w:szCs w:val="32"/>
        </w:rPr>
        <w:t>。</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bookmarkStart w:id="140" w:name="_Toc1699470987_WPSOffice_Level2"/>
      <w:r>
        <w:rPr>
          <w:rFonts w:hint="default" w:ascii="Times New Roman" w:hAnsi="Times New Roman" w:eastAsia="方正黑体_GBK" w:cs="Times New Roman"/>
          <w:color w:val="000000"/>
          <w:kern w:val="0"/>
          <w:sz w:val="33"/>
          <w:szCs w:val="33"/>
          <w:shd w:val="clear" w:color="auto" w:fill="FFFFFF"/>
        </w:rPr>
        <w:t>三、部门整体预算绩效管理情况</w:t>
      </w:r>
      <w:bookmarkEnd w:id="140"/>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41" w:name="_Toc1846234568_WPSOffice_Level3"/>
      <w:r>
        <w:rPr>
          <w:rFonts w:hint="default" w:ascii="Times New Roman" w:hAnsi="Times New Roman" w:eastAsia="方正仿宋_GBK" w:cs="Times New Roman"/>
          <w:color w:val="000000"/>
          <w:kern w:val="0"/>
          <w:sz w:val="33"/>
          <w:szCs w:val="33"/>
          <w:shd w:val="clear" w:color="auto" w:fill="FFFFFF"/>
          <w:lang w:val="zh-CN"/>
        </w:rPr>
        <w:t>（一）部门预算管理。</w:t>
      </w:r>
      <w:bookmarkEnd w:id="141"/>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预算编制：严格按照市级部门预算编制通知和有关要求，按时完成预算编报工作；部门整体绩效目标编制完整、合理，院校参照去年运行情况与今年实际状况编制部门整体绩效目标；预算编制准确，人员经费严格按照政策批复的标准发放；市人大预工委对预算草案审查未提出修改问题。</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2.预算执行方面：严格按照资金分配时效执行；小平干部学院未纳入财政全额拨款，年底需要申请资金用于第二年初开支</w:t>
      </w:r>
      <w:r>
        <w:rPr>
          <w:rFonts w:hint="default" w:ascii="Times New Roman" w:hAnsi="Times New Roman" w:eastAsia="方正仿宋_GBK" w:cs="Times New Roman"/>
          <w:color w:val="000000"/>
          <w:kern w:val="0"/>
          <w:sz w:val="33"/>
          <w:szCs w:val="33"/>
          <w:shd w:val="clear" w:color="auto" w:fill="FFFFFF"/>
          <w:lang w:val="en-US" w:eastAsia="zh-CN"/>
        </w:rPr>
        <w:t>，所以年末结余数较大，收入与支出偏差度为19.04%；学院无违规违纪行为；2021年度</w:t>
      </w:r>
      <w:r>
        <w:rPr>
          <w:rFonts w:hint="default" w:ascii="Times New Roman" w:hAnsi="Times New Roman" w:eastAsia="方正仿宋_GBK" w:cs="Times New Roman"/>
          <w:color w:val="000000"/>
          <w:kern w:val="0"/>
          <w:sz w:val="33"/>
          <w:szCs w:val="33"/>
          <w:shd w:val="clear" w:color="auto" w:fill="FFFFFF"/>
          <w:lang w:val="zh-CN"/>
        </w:rPr>
        <w:t>学院未预算“三公经费”。</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rPr>
      </w:pPr>
      <w:bookmarkStart w:id="142" w:name="_Toc2121679929_WPSOffice_Level3"/>
      <w:r>
        <w:rPr>
          <w:rFonts w:hint="default" w:ascii="Times New Roman" w:hAnsi="Times New Roman" w:eastAsia="方正仿宋_GBK" w:cs="Times New Roman"/>
          <w:color w:val="000000"/>
          <w:kern w:val="0"/>
          <w:sz w:val="33"/>
          <w:szCs w:val="33"/>
          <w:shd w:val="clear" w:color="auto" w:fill="FFFFFF"/>
          <w:lang w:val="zh-CN"/>
        </w:rPr>
        <w:t>（二）项目预算管理。</w:t>
      </w:r>
      <w:bookmarkEnd w:id="142"/>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小平干部学院无专项业务支出。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43" w:name="_Toc1699470987_WPSOffice_Level3"/>
      <w:r>
        <w:rPr>
          <w:rFonts w:hint="default" w:ascii="Times New Roman" w:hAnsi="Times New Roman" w:eastAsia="方正仿宋_GBK" w:cs="Times New Roman"/>
          <w:color w:val="000000"/>
          <w:kern w:val="0"/>
          <w:sz w:val="33"/>
          <w:szCs w:val="33"/>
          <w:shd w:val="clear" w:color="auto" w:fill="FFFFFF"/>
          <w:lang w:val="zh-CN"/>
        </w:rPr>
        <w:t>（</w:t>
      </w:r>
      <w:r>
        <w:rPr>
          <w:rFonts w:hint="default" w:ascii="Times New Roman" w:hAnsi="Times New Roman" w:eastAsia="方正仿宋_GBK" w:cs="Times New Roman"/>
          <w:color w:val="000000"/>
          <w:kern w:val="0"/>
          <w:sz w:val="33"/>
          <w:szCs w:val="33"/>
          <w:shd w:val="clear" w:color="auto" w:fill="FFFFFF"/>
        </w:rPr>
        <w:t>三</w:t>
      </w:r>
      <w:r>
        <w:rPr>
          <w:rFonts w:hint="default" w:ascii="Times New Roman" w:hAnsi="Times New Roman" w:eastAsia="方正仿宋_GBK" w:cs="Times New Roman"/>
          <w:color w:val="000000"/>
          <w:kern w:val="0"/>
          <w:sz w:val="33"/>
          <w:szCs w:val="33"/>
          <w:shd w:val="clear" w:color="auto" w:fill="FFFFFF"/>
          <w:lang w:val="zh-CN"/>
        </w:rPr>
        <w:t>）结果应用情况。</w:t>
      </w:r>
      <w:bookmarkEnd w:id="143"/>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本部门自评质量较好，绩效目标和自评结果按要求进行公开，评价结果及时进行整改并向相关部门进行反馈。</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黑体_GBK" w:cs="Times New Roman"/>
          <w:color w:val="000000"/>
          <w:kern w:val="0"/>
          <w:sz w:val="33"/>
          <w:szCs w:val="33"/>
          <w:shd w:val="clear" w:color="auto" w:fill="FFFFFF"/>
        </w:rPr>
      </w:pPr>
      <w:bookmarkStart w:id="144" w:name="_Toc1804015035_WPSOffice_Level2"/>
      <w:r>
        <w:rPr>
          <w:rFonts w:hint="default" w:ascii="Times New Roman" w:hAnsi="Times New Roman" w:eastAsia="方正黑体_GBK" w:cs="Times New Roman"/>
          <w:color w:val="000000"/>
          <w:kern w:val="0"/>
          <w:sz w:val="33"/>
          <w:szCs w:val="33"/>
          <w:shd w:val="clear" w:color="auto" w:fill="FFFFFF"/>
        </w:rPr>
        <w:t>四、评价结论及建议</w:t>
      </w:r>
      <w:bookmarkEnd w:id="144"/>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45" w:name="_Toc1804015035_WPSOffice_Level3"/>
      <w:r>
        <w:rPr>
          <w:rFonts w:hint="default" w:ascii="Times New Roman" w:hAnsi="Times New Roman" w:eastAsia="方正仿宋_GBK" w:cs="Times New Roman"/>
          <w:color w:val="000000"/>
          <w:kern w:val="0"/>
          <w:sz w:val="33"/>
          <w:szCs w:val="33"/>
          <w:shd w:val="clear" w:color="auto" w:fill="FFFFFF"/>
          <w:lang w:val="zh-CN"/>
        </w:rPr>
        <w:t>（一）评价结论。</w:t>
      </w:r>
      <w:bookmarkEnd w:id="145"/>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从总体看，本部门整体绩效效果较好，自查得分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87.12</w:t>
      </w:r>
      <w:r>
        <w:rPr>
          <w:rFonts w:hint="default" w:ascii="Times New Roman" w:hAnsi="Times New Roman" w:eastAsia="方正仿宋_GBK" w:cs="Times New Roman"/>
          <w:color w:val="000000"/>
          <w:kern w:val="0"/>
          <w:sz w:val="33"/>
          <w:szCs w:val="33"/>
          <w:shd w:val="clear" w:color="auto" w:fill="FFFFFF"/>
          <w:lang w:val="zh-CN"/>
        </w:rPr>
        <w:t>分（总分为</w:t>
      </w:r>
      <w:r>
        <w:rPr>
          <w:rFonts w:hint="default" w:ascii="Times New Roman" w:hAnsi="Times New Roman" w:eastAsia="方正仿宋_GBK" w:cs="Times New Roman"/>
          <w:color w:val="000000"/>
          <w:kern w:val="0"/>
          <w:sz w:val="33"/>
          <w:szCs w:val="33"/>
          <w:shd w:val="clear" w:color="auto" w:fill="FFFFFF"/>
          <w:lang w:val="en-US" w:eastAsia="zh-CN"/>
        </w:rPr>
        <w:t>90分</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numPr>
          <w:ilvl w:val="0"/>
          <w:numId w:val="6"/>
        </w:numPr>
        <w:kinsoku/>
        <w:overflowPunct/>
        <w:topLinePunct w:val="0"/>
        <w:autoSpaceDE/>
        <w:autoSpaceDN/>
        <w:bidi w:val="0"/>
        <w:adjustRightInd w:val="0"/>
        <w:snapToGrid w:val="0"/>
        <w:spacing w:line="590" w:lineRule="exact"/>
        <w:ind w:left="0" w:leftChars="0"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46" w:name="_Toc1771065438_WPSOffice_Level3"/>
      <w:r>
        <w:rPr>
          <w:rFonts w:hint="default" w:ascii="Times New Roman" w:hAnsi="Times New Roman" w:eastAsia="方正仿宋_GBK" w:cs="Times New Roman"/>
          <w:color w:val="000000"/>
          <w:kern w:val="0"/>
          <w:sz w:val="33"/>
          <w:szCs w:val="33"/>
          <w:shd w:val="clear" w:color="auto" w:fill="FFFFFF"/>
          <w:lang w:val="zh-CN"/>
        </w:rPr>
        <w:t>存在问题。</w:t>
      </w:r>
      <w:bookmarkEnd w:id="146"/>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1.学院上半年受疫情影响，培训开展困难，预算执行比值较低，不能达到预期执行比例。</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2.评估执行不理想，中期评估调整取消资金与年底结余资金不一致。</w:t>
      </w:r>
    </w:p>
    <w:p>
      <w:pPr>
        <w:pStyle w:val="9"/>
        <w:keepNext w:val="0"/>
        <w:keepLines w:val="0"/>
        <w:pageBreakBefore w:val="0"/>
        <w:widowControl w:val="0"/>
        <w:kinsoku/>
        <w:wordWrap/>
        <w:overflowPunct/>
        <w:topLinePunct w:val="0"/>
        <w:autoSpaceDE/>
        <w:autoSpaceDN/>
        <w:bidi w:val="0"/>
        <w:adjustRightInd/>
        <w:snapToGrid w:val="0"/>
        <w:spacing w:line="590" w:lineRule="exact"/>
        <w:ind w:firstLine="660"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3.单位内部业务</w:t>
      </w:r>
      <w:r>
        <w:rPr>
          <w:rFonts w:hint="default" w:ascii="Times New Roman" w:hAnsi="Times New Roman" w:eastAsia="方正仿宋_GBK" w:cs="Times New Roman"/>
          <w:color w:val="000000"/>
          <w:kern w:val="0"/>
          <w:sz w:val="33"/>
          <w:szCs w:val="33"/>
          <w:shd w:val="clear" w:color="auto" w:fill="FFFFFF"/>
          <w:lang w:val="zh-CN"/>
        </w:rPr>
        <w:t>部（室）</w:t>
      </w:r>
      <w:r>
        <w:rPr>
          <w:rFonts w:hint="default" w:ascii="Times New Roman" w:hAnsi="Times New Roman" w:eastAsia="方正仿宋_GBK" w:cs="Times New Roman"/>
          <w:color w:val="000000"/>
          <w:kern w:val="0"/>
          <w:sz w:val="33"/>
          <w:szCs w:val="33"/>
          <w:shd w:val="clear" w:color="auto" w:fill="FFFFFF"/>
          <w:lang w:val="en-US" w:eastAsia="zh-CN"/>
        </w:rPr>
        <w:t>与财务配合不紧密。</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bookmarkStart w:id="147" w:name="_Toc59595078_WPSOffice_Level3"/>
      <w:r>
        <w:rPr>
          <w:rFonts w:hint="default" w:ascii="Times New Roman" w:hAnsi="Times New Roman" w:eastAsia="方正仿宋_GBK" w:cs="Times New Roman"/>
          <w:color w:val="000000"/>
          <w:kern w:val="0"/>
          <w:sz w:val="33"/>
          <w:szCs w:val="33"/>
          <w:shd w:val="clear" w:color="auto" w:fill="FFFFFF"/>
          <w:lang w:val="zh-CN"/>
        </w:rPr>
        <w:t>（三）改进建议。</w:t>
      </w:r>
      <w:bookmarkEnd w:id="147"/>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1.加强中期评估工作，对本部分业务与资金进行合理评估。</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2.深化预算执行率与预算编制有机结合。将上一年预算执行情况作为下一年预算编制的重要依据，对预算执行缓慢的处室，严格控制其下一年预算资金。</w:t>
      </w:r>
    </w:p>
    <w:p>
      <w:pPr>
        <w:spacing w:line="580" w:lineRule="exact"/>
        <w:ind w:firstLine="660" w:firstLineChars="200"/>
        <w:rPr>
          <w:rFonts w:ascii="仿宋_GB2312" w:hAnsi="仿宋_GB2312" w:eastAsia="仿宋_GB2312" w:cs="仿宋_GB2312"/>
          <w:sz w:val="32"/>
          <w:szCs w:val="32"/>
        </w:rPr>
      </w:pPr>
      <w:r>
        <w:rPr>
          <w:rFonts w:hint="default" w:ascii="Times New Roman" w:hAnsi="Times New Roman" w:eastAsia="方正仿宋_GBK" w:cs="Times New Roman"/>
          <w:color w:val="000000"/>
          <w:kern w:val="0"/>
          <w:sz w:val="33"/>
          <w:szCs w:val="33"/>
          <w:shd w:val="clear" w:color="auto" w:fill="FFFFFF"/>
          <w:lang w:val="en-US" w:eastAsia="zh-CN"/>
        </w:rPr>
        <w:t>3.</w:t>
      </w:r>
      <w:r>
        <w:rPr>
          <w:rFonts w:hint="default" w:ascii="Times New Roman" w:hAnsi="Times New Roman" w:eastAsia="方正仿宋_GBK" w:cs="Times New Roman"/>
          <w:color w:val="000000"/>
          <w:kern w:val="0"/>
          <w:sz w:val="33"/>
          <w:szCs w:val="33"/>
          <w:shd w:val="clear" w:color="auto" w:fill="FFFFFF"/>
          <w:lang w:val="zh-CN"/>
        </w:rPr>
        <w:t>业务</w:t>
      </w:r>
      <w:r>
        <w:rPr>
          <w:rFonts w:hint="eastAsia" w:eastAsia="方正仿宋_GBK" w:cs="Times New Roman"/>
          <w:color w:val="000000"/>
          <w:kern w:val="0"/>
          <w:sz w:val="33"/>
          <w:szCs w:val="33"/>
          <w:shd w:val="clear" w:color="auto" w:fill="FFFFFF"/>
          <w:lang w:val="zh-CN"/>
        </w:rPr>
        <w:t>科</w:t>
      </w:r>
      <w:r>
        <w:rPr>
          <w:rFonts w:hint="default" w:ascii="Times New Roman" w:hAnsi="Times New Roman" w:eastAsia="方正仿宋_GBK" w:cs="Times New Roman"/>
          <w:color w:val="000000"/>
          <w:kern w:val="0"/>
          <w:sz w:val="33"/>
          <w:szCs w:val="33"/>
          <w:shd w:val="clear" w:color="auto" w:fill="FFFFFF"/>
          <w:lang w:val="zh-CN"/>
        </w:rPr>
        <w:t>室应按照年初预算具体分解情况进行合理支出。中心定期对预算执行缓慢的部（室）进行通报，并要求其出具书面说明、及时提出改进措施。</w:t>
      </w: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spacing w:line="580" w:lineRule="exact"/>
        <w:ind w:firstLine="640"/>
        <w:rPr>
          <w:rFonts w:ascii="仿宋_GB2312" w:hAnsi="仿宋_GB2312" w:eastAsia="仿宋_GB2312" w:cs="仿宋_GB2312"/>
          <w:sz w:val="32"/>
          <w:szCs w:val="32"/>
        </w:rPr>
      </w:pPr>
    </w:p>
    <w:p>
      <w:pPr>
        <w:widowControl/>
        <w:jc w:val="left"/>
        <w:rPr>
          <w:rStyle w:val="25"/>
          <w:rFonts w:ascii="黑体" w:hAnsi="黑体" w:eastAsia="黑体"/>
          <w:b w:val="0"/>
        </w:rPr>
      </w:pPr>
    </w:p>
    <w:p>
      <w:pPr>
        <w:widowControl/>
        <w:jc w:val="left"/>
        <w:rPr>
          <w:rStyle w:val="25"/>
          <w:rFonts w:ascii="黑体" w:hAnsi="黑体" w:eastAsia="黑体"/>
          <w:b w:val="0"/>
        </w:rPr>
      </w:pPr>
      <w:r>
        <w:rPr>
          <w:rStyle w:val="25"/>
          <w:rFonts w:ascii="黑体" w:hAnsi="黑体" w:eastAsia="黑体"/>
          <w:b w:val="0"/>
        </w:rPr>
        <w:br w:type="page"/>
      </w:r>
    </w:p>
    <w:p>
      <w:pPr>
        <w:spacing w:line="600" w:lineRule="exact"/>
        <w:jc w:val="center"/>
        <w:outlineLvl w:val="0"/>
        <w:rPr>
          <w:rStyle w:val="25"/>
          <w:rFonts w:ascii="黑体" w:hAnsi="黑体" w:eastAsia="黑体"/>
          <w:b w:val="0"/>
        </w:rPr>
      </w:pPr>
    </w:p>
    <w:p>
      <w:pPr>
        <w:spacing w:line="600" w:lineRule="exact"/>
        <w:jc w:val="center"/>
        <w:outlineLvl w:val="0"/>
        <w:rPr>
          <w:rStyle w:val="25"/>
          <w:rFonts w:ascii="黑体" w:hAnsi="黑体" w:eastAsia="黑体"/>
          <w:b w:val="0"/>
        </w:rPr>
      </w:pPr>
      <w:bookmarkStart w:id="148" w:name="_Toc1107331205_WPSOffice_Level1"/>
      <w:bookmarkStart w:id="149" w:name="_Toc15396618"/>
      <w:r>
        <w:rPr>
          <w:rFonts w:hint="eastAsia" w:ascii="黑体" w:hAnsi="黑体" w:eastAsia="黑体"/>
          <w:color w:val="000000"/>
          <w:sz w:val="44"/>
          <w:szCs w:val="44"/>
        </w:rPr>
        <w:t>第</w:t>
      </w:r>
      <w:r>
        <w:rPr>
          <w:rStyle w:val="25"/>
          <w:rFonts w:hint="eastAsia" w:ascii="黑体" w:hAnsi="黑体" w:eastAsia="黑体"/>
          <w:b w:val="0"/>
        </w:rPr>
        <w:t>五部分 附表</w:t>
      </w:r>
      <w:bookmarkEnd w:id="128"/>
      <w:bookmarkEnd w:id="148"/>
      <w:bookmarkEnd w:id="149"/>
    </w:p>
    <w:p>
      <w:pPr>
        <w:pStyle w:val="4"/>
        <w:rPr>
          <w:rFonts w:ascii="仿宋" w:hAnsi="仿宋" w:eastAsia="仿宋"/>
          <w:color w:val="000000"/>
        </w:rPr>
      </w:pPr>
      <w:bookmarkStart w:id="150" w:name="_Toc15396619"/>
      <w:bookmarkStart w:id="151" w:name="_Toc1771065438_WPSOffice_Level2"/>
      <w:r>
        <w:rPr>
          <w:rFonts w:hint="eastAsia" w:ascii="仿宋" w:hAnsi="仿宋" w:eastAsia="仿宋"/>
          <w:b w:val="0"/>
          <w:color w:val="000000"/>
        </w:rPr>
        <w:t>一、收</w:t>
      </w:r>
      <w:r>
        <w:rPr>
          <w:rStyle w:val="26"/>
          <w:rFonts w:hint="eastAsia" w:ascii="仿宋" w:hAnsi="仿宋" w:eastAsia="仿宋"/>
          <w:b w:val="0"/>
          <w:bCs w:val="0"/>
        </w:rPr>
        <w:t>入支出决算总表</w:t>
      </w:r>
      <w:bookmarkEnd w:id="150"/>
      <w:bookmarkEnd w:id="151"/>
    </w:p>
    <w:p>
      <w:pPr>
        <w:pStyle w:val="4"/>
        <w:rPr>
          <w:rFonts w:ascii="仿宋" w:hAnsi="仿宋" w:eastAsia="仿宋"/>
          <w:color w:val="000000"/>
        </w:rPr>
      </w:pPr>
      <w:bookmarkStart w:id="152" w:name="_Toc59595078_WPSOffice_Level2"/>
      <w:bookmarkStart w:id="153" w:name="_Toc15396620"/>
      <w:r>
        <w:rPr>
          <w:rFonts w:hint="eastAsia" w:ascii="仿宋" w:hAnsi="仿宋" w:eastAsia="仿宋"/>
          <w:b w:val="0"/>
          <w:color w:val="000000"/>
        </w:rPr>
        <w:t>二、收</w:t>
      </w:r>
      <w:r>
        <w:rPr>
          <w:rStyle w:val="26"/>
          <w:rFonts w:hint="eastAsia" w:ascii="仿宋" w:hAnsi="仿宋" w:eastAsia="仿宋"/>
          <w:b w:val="0"/>
          <w:bCs w:val="0"/>
        </w:rPr>
        <w:t>入决算表</w:t>
      </w:r>
      <w:bookmarkEnd w:id="152"/>
      <w:bookmarkEnd w:id="153"/>
    </w:p>
    <w:p>
      <w:pPr>
        <w:pStyle w:val="4"/>
        <w:rPr>
          <w:rFonts w:ascii="仿宋" w:hAnsi="仿宋" w:eastAsia="仿宋"/>
          <w:color w:val="000000"/>
        </w:rPr>
      </w:pPr>
      <w:bookmarkStart w:id="154" w:name="_Toc1573260148_WPSOffice_Level2"/>
      <w:bookmarkStart w:id="155"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154"/>
      <w:bookmarkEnd w:id="155"/>
    </w:p>
    <w:p>
      <w:pPr>
        <w:pStyle w:val="4"/>
        <w:rPr>
          <w:rFonts w:ascii="仿宋" w:hAnsi="仿宋" w:eastAsia="仿宋"/>
          <w:b w:val="0"/>
          <w:color w:val="000000"/>
        </w:rPr>
      </w:pPr>
      <w:bookmarkStart w:id="156" w:name="_Toc37095661_WPSOffice_Level2"/>
      <w:bookmarkStart w:id="157"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156"/>
      <w:bookmarkEnd w:id="157"/>
    </w:p>
    <w:p>
      <w:pPr>
        <w:pStyle w:val="4"/>
        <w:rPr>
          <w:rStyle w:val="26"/>
          <w:rFonts w:ascii="仿宋" w:hAnsi="仿宋" w:eastAsia="仿宋"/>
          <w:b w:val="0"/>
          <w:bCs w:val="0"/>
        </w:rPr>
      </w:pPr>
      <w:bookmarkStart w:id="158" w:name="_Toc15396623"/>
      <w:bookmarkStart w:id="159" w:name="_Toc1149844292_WPSOffice_Level2"/>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158"/>
      <w:bookmarkEnd w:id="159"/>
      <w:bookmarkStart w:id="160" w:name="_Toc15396624"/>
    </w:p>
    <w:p>
      <w:pPr>
        <w:pStyle w:val="4"/>
        <w:rPr>
          <w:rFonts w:ascii="仿宋" w:hAnsi="仿宋" w:eastAsia="仿宋"/>
          <w:color w:val="000000"/>
        </w:rPr>
      </w:pPr>
      <w:bookmarkStart w:id="161" w:name="_Toc1232579890_WPSOffice_Level2"/>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160"/>
      <w:bookmarkEnd w:id="161"/>
    </w:p>
    <w:p>
      <w:pPr>
        <w:pStyle w:val="4"/>
        <w:rPr>
          <w:rFonts w:ascii="仿宋" w:hAnsi="仿宋" w:eastAsia="仿宋"/>
          <w:color w:val="000000"/>
        </w:rPr>
      </w:pPr>
      <w:bookmarkStart w:id="162" w:name="_Toc1098857376_WPSOffice_Level2"/>
      <w:bookmarkStart w:id="163"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162"/>
      <w:bookmarkEnd w:id="163"/>
    </w:p>
    <w:p>
      <w:pPr>
        <w:pStyle w:val="4"/>
        <w:rPr>
          <w:rFonts w:ascii="仿宋" w:hAnsi="仿宋" w:eastAsia="仿宋"/>
          <w:color w:val="000000"/>
        </w:rPr>
      </w:pPr>
      <w:bookmarkStart w:id="164" w:name="_Toc15396626"/>
      <w:bookmarkStart w:id="165" w:name="_Toc2145765930_WPSOffice_Level2"/>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164"/>
      <w:bookmarkEnd w:id="165"/>
    </w:p>
    <w:p>
      <w:pPr>
        <w:pStyle w:val="4"/>
        <w:rPr>
          <w:rFonts w:ascii="仿宋" w:hAnsi="仿宋" w:eastAsia="仿宋"/>
          <w:color w:val="000000"/>
        </w:rPr>
      </w:pPr>
      <w:bookmarkStart w:id="166" w:name="_Toc15396627"/>
      <w:bookmarkStart w:id="167" w:name="_Toc243092640_WPSOffice_Level2"/>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166"/>
      <w:bookmarkEnd w:id="167"/>
    </w:p>
    <w:p>
      <w:pPr>
        <w:pStyle w:val="4"/>
        <w:rPr>
          <w:rFonts w:ascii="仿宋" w:hAnsi="仿宋" w:eastAsia="仿宋"/>
          <w:color w:val="000000"/>
        </w:rPr>
      </w:pPr>
      <w:bookmarkStart w:id="168" w:name="_Toc15396628"/>
      <w:bookmarkStart w:id="169" w:name="_Toc1231254505_WPSOffice_Level2"/>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168"/>
      <w:bookmarkEnd w:id="169"/>
    </w:p>
    <w:p>
      <w:pPr>
        <w:pStyle w:val="4"/>
        <w:rPr>
          <w:rFonts w:ascii="仿宋" w:hAnsi="仿宋" w:eastAsia="仿宋"/>
          <w:color w:val="000000"/>
        </w:rPr>
      </w:pPr>
      <w:bookmarkStart w:id="170" w:name="_Toc15396629"/>
      <w:bookmarkStart w:id="171" w:name="_Toc2020549195_WPSOffice_Level2"/>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170"/>
      <w:bookmarkEnd w:id="171"/>
    </w:p>
    <w:p>
      <w:pPr>
        <w:pStyle w:val="4"/>
        <w:rPr>
          <w:rFonts w:ascii="仿宋" w:hAnsi="仿宋" w:eastAsia="仿宋"/>
          <w:color w:val="000000"/>
        </w:rPr>
      </w:pPr>
      <w:bookmarkStart w:id="172" w:name="_Toc819583532_WPSOffice_Level2"/>
      <w:bookmarkStart w:id="173"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172"/>
      <w:bookmarkEnd w:id="173"/>
    </w:p>
    <w:p>
      <w:pPr>
        <w:pStyle w:val="4"/>
        <w:rPr>
          <w:rStyle w:val="26"/>
          <w:rFonts w:ascii="仿宋" w:hAnsi="仿宋" w:eastAsia="仿宋"/>
          <w:b w:val="0"/>
          <w:bCs w:val="0"/>
        </w:rPr>
      </w:pPr>
      <w:bookmarkStart w:id="174" w:name="_Toc869239252_WPSOffice_Level2"/>
      <w:bookmarkStart w:id="175" w:name="_Toc15396631"/>
      <w:r>
        <w:rPr>
          <w:rStyle w:val="26"/>
          <w:rFonts w:hint="eastAsia" w:ascii="仿宋" w:hAnsi="仿宋" w:eastAsia="仿宋"/>
          <w:b w:val="0"/>
          <w:bCs w:val="0"/>
        </w:rPr>
        <w:t>十三、</w:t>
      </w:r>
      <w:r>
        <w:rPr>
          <w:rFonts w:hint="eastAsia" w:ascii="仿宋" w:hAnsi="仿宋" w:eastAsia="仿宋"/>
          <w:b w:val="0"/>
          <w:color w:val="000000"/>
        </w:rPr>
        <w:t>国有资本经营预算财政拨款收入支出决算表</w:t>
      </w:r>
      <w:bookmarkEnd w:id="174"/>
    </w:p>
    <w:p>
      <w:pPr>
        <w:pStyle w:val="4"/>
        <w:rPr>
          <w:rFonts w:ascii="仿宋" w:hAnsi="仿宋" w:eastAsia="仿宋"/>
          <w:color w:val="000000" w:themeColor="text1"/>
          <w14:textFill>
            <w14:solidFill>
              <w14:schemeClr w14:val="tx1"/>
            </w14:solidFill>
          </w14:textFill>
        </w:rPr>
      </w:pPr>
      <w:bookmarkStart w:id="176" w:name="_Toc369578577_WPSOffice_Level2"/>
      <w:r>
        <w:rPr>
          <w:rFonts w:hint="eastAsia" w:ascii="仿宋" w:hAnsi="仿宋" w:eastAsia="仿宋"/>
          <w:b w:val="0"/>
          <w:color w:val="000000"/>
        </w:rPr>
        <w:t>十四、国</w:t>
      </w:r>
      <w:r>
        <w:rPr>
          <w:rStyle w:val="26"/>
          <w:rFonts w:hint="eastAsia" w:ascii="仿宋" w:hAnsi="仿宋" w:eastAsia="仿宋"/>
          <w:b w:val="0"/>
          <w:bCs w:val="0"/>
        </w:rPr>
        <w:t>有资本经营预算财政拨款支出决算表</w:t>
      </w:r>
      <w:bookmarkEnd w:id="175"/>
      <w:bookmarkEnd w:id="17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ACE3F"/>
    <w:multiLevelType w:val="singleLevel"/>
    <w:tmpl w:val="8D9ACE3F"/>
    <w:lvl w:ilvl="0" w:tentative="0">
      <w:start w:val="2"/>
      <w:numFmt w:val="chineseCounting"/>
      <w:suff w:val="nothing"/>
      <w:lvlText w:val="（%1）"/>
      <w:lvlJc w:val="left"/>
      <w:rPr>
        <w:rFonts w:hint="eastAsia"/>
      </w:rPr>
    </w:lvl>
  </w:abstractNum>
  <w:abstractNum w:abstractNumId="1">
    <w:nsid w:val="9214F70C"/>
    <w:multiLevelType w:val="singleLevel"/>
    <w:tmpl w:val="9214F70C"/>
    <w:lvl w:ilvl="0" w:tentative="0">
      <w:start w:val="7"/>
      <w:numFmt w:val="chineseCounting"/>
      <w:suff w:val="nothing"/>
      <w:lvlText w:val="%1、"/>
      <w:lvlJc w:val="left"/>
      <w:rPr>
        <w:rFonts w:hint="eastAsia"/>
      </w:rPr>
    </w:lvl>
  </w:abstractNum>
  <w:abstractNum w:abstractNumId="2">
    <w:nsid w:val="ACF7FF11"/>
    <w:multiLevelType w:val="singleLevel"/>
    <w:tmpl w:val="ACF7FF11"/>
    <w:lvl w:ilvl="0" w:tentative="0">
      <w:start w:val="2"/>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FECF186E"/>
    <w:multiLevelType w:val="singleLevel"/>
    <w:tmpl w:val="FECF186E"/>
    <w:lvl w:ilvl="0" w:tentative="0">
      <w:start w:val="2"/>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ZDMwOWIyMDZjZTFiZmE5NTY3MGIwYmQxNzA2YzMifQ=="/>
  </w:docVars>
  <w:rsids>
    <w:rsidRoot w:val="00F1361C"/>
    <w:rsid w:val="000222C6"/>
    <w:rsid w:val="0002549F"/>
    <w:rsid w:val="000468DB"/>
    <w:rsid w:val="00055A8A"/>
    <w:rsid w:val="0006487A"/>
    <w:rsid w:val="00065F8F"/>
    <w:rsid w:val="00070A43"/>
    <w:rsid w:val="0007547B"/>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D69"/>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3980"/>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7BF7"/>
    <w:rsid w:val="00380C92"/>
    <w:rsid w:val="003A484F"/>
    <w:rsid w:val="003A4883"/>
    <w:rsid w:val="003B0BE0"/>
    <w:rsid w:val="003B0C1B"/>
    <w:rsid w:val="003B39D8"/>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2798"/>
    <w:rsid w:val="004A711F"/>
    <w:rsid w:val="004B199D"/>
    <w:rsid w:val="004B4690"/>
    <w:rsid w:val="004E0A2D"/>
    <w:rsid w:val="004E206B"/>
    <w:rsid w:val="004E6DF7"/>
    <w:rsid w:val="004F0FBD"/>
    <w:rsid w:val="00505A47"/>
    <w:rsid w:val="00512FDA"/>
    <w:rsid w:val="00520DA0"/>
    <w:rsid w:val="005602B0"/>
    <w:rsid w:val="005664BB"/>
    <w:rsid w:val="00566FFA"/>
    <w:rsid w:val="0057481D"/>
    <w:rsid w:val="0058486E"/>
    <w:rsid w:val="00585B33"/>
    <w:rsid w:val="005863E1"/>
    <w:rsid w:val="0059014D"/>
    <w:rsid w:val="005A304C"/>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A7F8A"/>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9DF"/>
    <w:rsid w:val="00871F71"/>
    <w:rsid w:val="00872FD8"/>
    <w:rsid w:val="00885AF4"/>
    <w:rsid w:val="008939CD"/>
    <w:rsid w:val="008B768C"/>
    <w:rsid w:val="008C4DB1"/>
    <w:rsid w:val="008C4EAF"/>
    <w:rsid w:val="008C5176"/>
    <w:rsid w:val="008C7FD0"/>
    <w:rsid w:val="008E1DE7"/>
    <w:rsid w:val="008E707C"/>
    <w:rsid w:val="008F43BF"/>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3B3"/>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1D89"/>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7009"/>
    <w:rsid w:val="00FF1E02"/>
    <w:rsid w:val="00FF30B4"/>
    <w:rsid w:val="0669648E"/>
    <w:rsid w:val="06B801E1"/>
    <w:rsid w:val="09B3669D"/>
    <w:rsid w:val="0A2032A3"/>
    <w:rsid w:val="0ACB72E5"/>
    <w:rsid w:val="0BD1285F"/>
    <w:rsid w:val="0DE21480"/>
    <w:rsid w:val="10C055FF"/>
    <w:rsid w:val="118107EC"/>
    <w:rsid w:val="16BB723D"/>
    <w:rsid w:val="17691047"/>
    <w:rsid w:val="1793097A"/>
    <w:rsid w:val="18534BA8"/>
    <w:rsid w:val="19375FF7"/>
    <w:rsid w:val="1C744EEF"/>
    <w:rsid w:val="1D155CEE"/>
    <w:rsid w:val="1DC54782"/>
    <w:rsid w:val="1E8B5456"/>
    <w:rsid w:val="1FBD1855"/>
    <w:rsid w:val="240371BF"/>
    <w:rsid w:val="24270C66"/>
    <w:rsid w:val="26172211"/>
    <w:rsid w:val="29FD04D3"/>
    <w:rsid w:val="2BDC73E3"/>
    <w:rsid w:val="2CF92D3D"/>
    <w:rsid w:val="30B97C74"/>
    <w:rsid w:val="31981078"/>
    <w:rsid w:val="319F7F4E"/>
    <w:rsid w:val="31C06AA2"/>
    <w:rsid w:val="34D66C80"/>
    <w:rsid w:val="384F1DA4"/>
    <w:rsid w:val="387E5813"/>
    <w:rsid w:val="39B90593"/>
    <w:rsid w:val="39FFA2B2"/>
    <w:rsid w:val="3A8B515E"/>
    <w:rsid w:val="3C66733D"/>
    <w:rsid w:val="3D065BAF"/>
    <w:rsid w:val="3DF62F76"/>
    <w:rsid w:val="3EBB2934"/>
    <w:rsid w:val="3FFA232E"/>
    <w:rsid w:val="4194777E"/>
    <w:rsid w:val="421666B2"/>
    <w:rsid w:val="4574072F"/>
    <w:rsid w:val="46F52071"/>
    <w:rsid w:val="47B01E42"/>
    <w:rsid w:val="482A15FB"/>
    <w:rsid w:val="49A30776"/>
    <w:rsid w:val="4ECE2238"/>
    <w:rsid w:val="50667B86"/>
    <w:rsid w:val="51BB7E98"/>
    <w:rsid w:val="53FB2302"/>
    <w:rsid w:val="55C04EA2"/>
    <w:rsid w:val="5EDF9E07"/>
    <w:rsid w:val="5FEFF86D"/>
    <w:rsid w:val="631122C9"/>
    <w:rsid w:val="67704F2B"/>
    <w:rsid w:val="685FB0D7"/>
    <w:rsid w:val="6C4A05C8"/>
    <w:rsid w:val="6CEE2D6F"/>
    <w:rsid w:val="6D4D6A44"/>
    <w:rsid w:val="6D7F855D"/>
    <w:rsid w:val="6ED36BA4"/>
    <w:rsid w:val="6F072F89"/>
    <w:rsid w:val="70C075D3"/>
    <w:rsid w:val="72734D90"/>
    <w:rsid w:val="75585ABA"/>
    <w:rsid w:val="759B6318"/>
    <w:rsid w:val="767B2E15"/>
    <w:rsid w:val="76950A1B"/>
    <w:rsid w:val="787BD565"/>
    <w:rsid w:val="7908556B"/>
    <w:rsid w:val="7B0FC915"/>
    <w:rsid w:val="7BBB2FEF"/>
    <w:rsid w:val="7CDC7CD3"/>
    <w:rsid w:val="7D85545B"/>
    <w:rsid w:val="7E7F7DA2"/>
    <w:rsid w:val="7E7FEE63"/>
    <w:rsid w:val="7FAF5630"/>
    <w:rsid w:val="7FBF212E"/>
    <w:rsid w:val="7FF38F5F"/>
    <w:rsid w:val="9B5945F9"/>
    <w:rsid w:val="AB9D6627"/>
    <w:rsid w:val="BFFF3461"/>
    <w:rsid w:val="DADF5282"/>
    <w:rsid w:val="DFBEF3EA"/>
    <w:rsid w:val="EBCB9DD2"/>
    <w:rsid w:val="F6F5916F"/>
    <w:rsid w:val="F8312DC6"/>
    <w:rsid w:val="FDF65825"/>
    <w:rsid w:val="FE776F89"/>
    <w:rsid w:val="FFFFBD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99"/>
    <w:pPr>
      <w:ind w:left="200" w:leftChars="200" w:hanging="200" w:hangingChars="200"/>
    </w:pPr>
    <w:rPr>
      <w:rFonts w:eastAsia="仿宋"/>
    </w:rPr>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unhideWhenUsed/>
    <w:qFormat/>
    <w:uiPriority w:val="99"/>
    <w:rPr>
      <w:sz w:val="18"/>
      <w:szCs w:val="18"/>
    </w:rPr>
  </w:style>
  <w:style w:type="paragraph" w:styleId="9">
    <w:name w:val="footer"/>
    <w:basedOn w:val="1"/>
    <w:next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列出段落1"/>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WPSOffice手动目录 2"/>
    <w:qFormat/>
    <w:uiPriority w:val="0"/>
    <w:pPr>
      <w:ind w:leftChars="200"/>
    </w:pPr>
    <w:rPr>
      <w:rFonts w:ascii="Times New Roman" w:hAnsi="Times New Roman" w:eastAsia="宋体" w:cs="Times New Roman"/>
      <w:sz w:val="20"/>
      <w:szCs w:val="20"/>
    </w:rPr>
  </w:style>
  <w:style w:type="paragraph" w:customStyle="1" w:styleId="33">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2"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false"/>
      <c:spPr>
        <a:noFill/>
        <a:ln>
          <a:noFill/>
        </a:ln>
        <a:effectLst/>
      </c:spPr>
    </c:title>
    <c:autoTitleDeleted val="false"/>
    <c:plotArea>
      <c:layout>
        <c:manualLayout>
          <c:layoutTarget val="inner"/>
          <c:xMode val="edge"/>
          <c:yMode val="edge"/>
          <c:x val="0.0195694716242661"/>
          <c:y val="0.270138888888889"/>
          <c:w val="0.942596216568819"/>
          <c:h val="0.606342592592593"/>
        </c:manualLayout>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14157.3</c:v>
                </c:pt>
                <c:pt idx="1">
                  <c:v>13584.35</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[工作簿1]Sheet1!$I$36:$I$37</c:f>
              <c:strCache>
                <c:ptCount val="2"/>
                <c:pt idx="0">
                  <c:v>一般公共预算财政拨款收入</c:v>
                </c:pt>
                <c:pt idx="1">
                  <c:v>政府性基金预算财政拨款收入</c:v>
                </c:pt>
              </c:strCache>
            </c:strRef>
          </c:cat>
          <c:val>
            <c:numRef>
              <c:f>[工作簿1]Sheet1!$J$36:$J$37</c:f>
              <c:numCache>
                <c:formatCode>General</c:formatCode>
                <c:ptCount val="2"/>
                <c:pt idx="0">
                  <c:v>3483.07</c:v>
                </c:pt>
                <c:pt idx="1">
                  <c:v>10101.27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[工作簿1]Sheet1!$I$45:$I$46</c:f>
              <c:strCache>
                <c:ptCount val="2"/>
                <c:pt idx="0">
                  <c:v>基本支出</c:v>
                </c:pt>
                <c:pt idx="1">
                  <c:v>项目支出</c:v>
                </c:pt>
              </c:strCache>
            </c:strRef>
          </c:cat>
          <c:val>
            <c:numRef>
              <c:f>[工作簿1]Sheet1!$J$45:$J$46</c:f>
              <c:numCache>
                <c:formatCode>General</c:formatCode>
                <c:ptCount val="2"/>
                <c:pt idx="0">
                  <c:v>3483.07</c:v>
                </c:pt>
                <c:pt idx="1">
                  <c:v>10101.27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14157.3</c:v>
                </c:pt>
                <c:pt idx="1">
                  <c:v>13584.35</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layout>
        <c:manualLayout>
          <c:xMode val="edge"/>
          <c:yMode val="edge"/>
          <c:x val="0.115694444444444"/>
          <c:y val="0.0451388888888889"/>
        </c:manualLayout>
      </c:layout>
      <c:overlay val="false"/>
      <c:spPr>
        <a:noFill/>
        <a:ln>
          <a:noFill/>
        </a:ln>
        <a:effectLst/>
      </c:spPr>
    </c:title>
    <c:autoTitleDeleted val="false"/>
    <c:plotArea>
      <c:layout>
        <c:manualLayout>
          <c:layoutTarget val="inner"/>
          <c:xMode val="edge"/>
          <c:yMode val="edge"/>
          <c:x val="0.148972222222222"/>
          <c:y val="0.214583333333333"/>
          <c:w val="0.828805555555555"/>
          <c:h val="0.71212962962963"/>
        </c:manualLayout>
      </c:layout>
      <c:barChart>
        <c:barDir val="col"/>
        <c:grouping val="clustered"/>
        <c:varyColors val="false"/>
        <c:ser>
          <c:idx val="0"/>
          <c:order val="0"/>
          <c:spPr>
            <a:solidFill>
              <a:schemeClr val="accent1"/>
            </a:solidFill>
            <a:ln>
              <a:noFill/>
            </a:ln>
            <a:effectLst/>
          </c:spPr>
          <c:invertIfNegative val="false"/>
          <c:dLbls>
            <c:delete val="true"/>
          </c:dLbls>
          <c:cat>
            <c:strRef>
              <c:f>[工作簿2]Sheet1!$H$16:$I$16</c:f>
              <c:strCache>
                <c:ptCount val="2"/>
                <c:pt idx="0">
                  <c:v>2020年</c:v>
                </c:pt>
                <c:pt idx="1">
                  <c:v>2021年</c:v>
                </c:pt>
              </c:strCache>
            </c:strRef>
          </c:cat>
          <c:val>
            <c:numRef>
              <c:f>[工作簿2]Sheet1!$H$17:$I$17</c:f>
              <c:numCache>
                <c:formatCode>0.00_ </c:formatCode>
                <c:ptCount val="2"/>
                <c:pt idx="0">
                  <c:v>2367.32</c:v>
                </c:pt>
                <c:pt idx="1" c:formatCode="General">
                  <c:v>3483.07</c:v>
                </c:pt>
              </c:numCache>
            </c:numRef>
          </c:val>
        </c:ser>
        <c:dLbls>
          <c:showLegendKey val="false"/>
          <c:showVal val="false"/>
          <c:showCatName val="false"/>
          <c:showSerName val="false"/>
          <c:showPercent val="false"/>
          <c:showBubbleSize val="false"/>
        </c:dLbls>
        <c:gapWidth val="219"/>
        <c:overlap val="-27"/>
        <c:axId val="888450166"/>
        <c:axId val="164337793"/>
      </c:barChart>
      <c:catAx>
        <c:axId val="888450166"/>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4337793"/>
        <c:crosses val="autoZero"/>
        <c:auto val="true"/>
        <c:lblAlgn val="ctr"/>
        <c:lblOffset val="100"/>
        <c:noMultiLvlLbl val="false"/>
      </c:catAx>
      <c:valAx>
        <c:axId val="164337793"/>
        <c:scaling>
          <c:orientation val="minMax"/>
        </c:scaling>
        <c:delete val="false"/>
        <c:axPos val="l"/>
        <c:majorGridlines>
          <c:spPr>
            <a:ln w="9525" cap="flat" cmpd="sng" algn="ctr">
              <a:solidFill>
                <a:schemeClr val="tx1">
                  <a:lumMod val="15000"/>
                  <a:lumOff val="85000"/>
                </a:schemeClr>
              </a:solidFill>
              <a:round/>
            </a:ln>
            <a:effectLst/>
          </c:spPr>
        </c:majorGridlines>
        <c:numFmt formatCode="0.00_ "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88450166"/>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pieChart>
        <c:varyColors val="true"/>
        <c:ser>
          <c:idx val="0"/>
          <c:order val="0"/>
          <c:tx>
            <c:strRef>
              <c:f>[工作簿2]Sheet1!$G$32</c:f>
              <c:strCache>
                <c:ptCount val="1"/>
                <c:pt idx="0">
                  <c:v>一般公共预算财政拨款支出决算结构</c:v>
                </c:pt>
              </c:strCache>
            </c:strRef>
          </c:tx>
          <c:spPr/>
          <c:explosion val="0"/>
          <c:dPt>
            <c:idx val="0"/>
            <c:bubble3D val="false"/>
            <c:spPr>
              <a:solidFill>
                <a:schemeClr val="accent1"/>
              </a:solidFill>
              <a:ln w="19050">
                <a:solidFill>
                  <a:schemeClr val="lt1"/>
                </a:solidFill>
              </a:ln>
              <a:effectLst/>
            </c:spPr>
          </c:dPt>
          <c:dLbls>
            <c:delete val="true"/>
          </c:dLbls>
          <c:cat>
            <c:strRef>
              <c:f>[工作簿2]Sheet1!$H$31</c:f>
              <c:strCache>
                <c:ptCount val="1"/>
                <c:pt idx="0">
                  <c:v>教育支出</c:v>
                </c:pt>
              </c:strCache>
            </c:strRef>
          </c:cat>
          <c:val>
            <c:numRef>
              <c:f>[工作簿2]Sheet1!$H$32</c:f>
              <c:numCache>
                <c:formatCode>General</c:formatCode>
                <c:ptCount val="1"/>
                <c:pt idx="0">
                  <c:v>3483.07</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89e4749-dbbf-4409-85c7-5588a8fe6cbc}"/>
        <w:style w:val=""/>
        <w:category>
          <w:name w:val="常规"/>
          <w:gallery w:val="placeholder"/>
        </w:category>
        <w:types>
          <w:type w:val="bbPlcHdr"/>
        </w:types>
        <w:behaviors>
          <w:behavior w:val="content"/>
        </w:behaviors>
        <w:description w:val=""/>
        <w:guid w:val="{f89e4749-dbbf-4409-85c7-5588a8fe6cbc}"/>
      </w:docPartPr>
      <w:docPartBody>
        <w:p>
          <w:r>
            <w:rPr>
              <w:color w:val="808080"/>
            </w:rPr>
            <w:t>单击此处输入文字。</w:t>
          </w:r>
        </w:p>
      </w:docPartBody>
    </w:docPart>
    <w:docPart>
      <w:docPartPr>
        <w:name w:val="{65fc37ae-debd-473b-a211-fecd6ac4ad86}"/>
        <w:style w:val=""/>
        <w:category>
          <w:name w:val="常规"/>
          <w:gallery w:val="placeholder"/>
        </w:category>
        <w:types>
          <w:type w:val="bbPlcHdr"/>
        </w:types>
        <w:behaviors>
          <w:behavior w:val="content"/>
        </w:behaviors>
        <w:description w:val=""/>
        <w:guid w:val="{65fc37ae-debd-473b-a211-fecd6ac4ad86}"/>
      </w:docPartPr>
      <w:docPartBody>
        <w:p>
          <w:r>
            <w:rPr>
              <w:color w:val="808080"/>
            </w:rPr>
            <w:t>单击此处输入文字。</w:t>
          </w:r>
        </w:p>
      </w:docPartBody>
    </w:docPart>
    <w:docPart>
      <w:docPartPr>
        <w:name w:val="{72c7ef0a-fd65-41fe-bc33-95a03aa8098b}"/>
        <w:style w:val=""/>
        <w:category>
          <w:name w:val="常规"/>
          <w:gallery w:val="placeholder"/>
        </w:category>
        <w:types>
          <w:type w:val="bbPlcHdr"/>
        </w:types>
        <w:behaviors>
          <w:behavior w:val="content"/>
        </w:behaviors>
        <w:description w:val=""/>
        <w:guid w:val="{72c7ef0a-fd65-41fe-bc33-95a03aa8098b}"/>
      </w:docPartPr>
      <w:docPartBody>
        <w:p>
          <w:r>
            <w:rPr>
              <w:color w:val="808080"/>
            </w:rPr>
            <w:t>单击此处输入文字。</w:t>
          </w:r>
        </w:p>
      </w:docPartBody>
    </w:docPart>
    <w:docPart>
      <w:docPartPr>
        <w:name w:val="{533b63e0-f233-46ae-a4e2-2ee5e55adbcd}"/>
        <w:style w:val=""/>
        <w:category>
          <w:name w:val="常规"/>
          <w:gallery w:val="placeholder"/>
        </w:category>
        <w:types>
          <w:type w:val="bbPlcHdr"/>
        </w:types>
        <w:behaviors>
          <w:behavior w:val="content"/>
        </w:behaviors>
        <w:description w:val=""/>
        <w:guid w:val="{533b63e0-f233-46ae-a4e2-2ee5e55adbcd}"/>
      </w:docPartPr>
      <w:docPartBody>
        <w:p>
          <w:r>
            <w:rPr>
              <w:color w:val="808080"/>
            </w:rPr>
            <w:t>单击此处输入文字。</w:t>
          </w:r>
        </w:p>
      </w:docPartBody>
    </w:docPart>
    <w:docPart>
      <w:docPartPr>
        <w:name w:val="{d2ed1fd1-b34b-41e6-ba50-82a326187c3e}"/>
        <w:style w:val=""/>
        <w:category>
          <w:name w:val="常规"/>
          <w:gallery w:val="placeholder"/>
        </w:category>
        <w:types>
          <w:type w:val="bbPlcHdr"/>
        </w:types>
        <w:behaviors>
          <w:behavior w:val="content"/>
        </w:behaviors>
        <w:description w:val=""/>
        <w:guid w:val="{d2ed1fd1-b34b-41e6-ba50-82a326187c3e}"/>
      </w:docPartPr>
      <w:docPartBody>
        <w:p>
          <w:r>
            <w:rPr>
              <w:color w:val="808080"/>
            </w:rPr>
            <w:t>单击此处输入文字。</w:t>
          </w:r>
        </w:p>
      </w:docPartBody>
    </w:docPart>
    <w:docPart>
      <w:docPartPr>
        <w:name w:val="{2a458737-03a6-45e1-a38e-9fc9847a965e}"/>
        <w:style w:val=""/>
        <w:category>
          <w:name w:val="常规"/>
          <w:gallery w:val="placeholder"/>
        </w:category>
        <w:types>
          <w:type w:val="bbPlcHdr"/>
        </w:types>
        <w:behaviors>
          <w:behavior w:val="content"/>
        </w:behaviors>
        <w:description w:val=""/>
        <w:guid w:val="{2a458737-03a6-45e1-a38e-9fc9847a965e}"/>
      </w:docPartPr>
      <w:docPartBody>
        <w:p>
          <w:r>
            <w:rPr>
              <w:color w:val="808080"/>
            </w:rPr>
            <w:t>单击此处输入文字。</w:t>
          </w:r>
        </w:p>
      </w:docPartBody>
    </w:docPart>
    <w:docPart>
      <w:docPartPr>
        <w:name w:val="{60b3d6f5-b419-4bfa-b4d2-1f2c2c341436}"/>
        <w:style w:val=""/>
        <w:category>
          <w:name w:val="常规"/>
          <w:gallery w:val="placeholder"/>
        </w:category>
        <w:types>
          <w:type w:val="bbPlcHdr"/>
        </w:types>
        <w:behaviors>
          <w:behavior w:val="content"/>
        </w:behaviors>
        <w:description w:val=""/>
        <w:guid w:val="{60b3d6f5-b419-4bfa-b4d2-1f2c2c341436}"/>
      </w:docPartPr>
      <w:docPartBody>
        <w:p>
          <w:r>
            <w:rPr>
              <w:color w:val="808080"/>
            </w:rPr>
            <w:t>单击此处输入文字。</w:t>
          </w:r>
        </w:p>
      </w:docPartBody>
    </w:docPart>
    <w:docPart>
      <w:docPartPr>
        <w:name w:val="{890f0d8c-96ac-4531-8bf6-bf003f5b7670}"/>
        <w:style w:val=""/>
        <w:category>
          <w:name w:val="常规"/>
          <w:gallery w:val="placeholder"/>
        </w:category>
        <w:types>
          <w:type w:val="bbPlcHdr"/>
        </w:types>
        <w:behaviors>
          <w:behavior w:val="content"/>
        </w:behaviors>
        <w:description w:val=""/>
        <w:guid w:val="{890f0d8c-96ac-4531-8bf6-bf003f5b7670}"/>
      </w:docPartPr>
      <w:docPartBody>
        <w:p>
          <w:r>
            <w:rPr>
              <w:color w:val="808080"/>
            </w:rPr>
            <w:t>单击此处输入文字。</w:t>
          </w:r>
        </w:p>
      </w:docPartBody>
    </w:docPart>
    <w:docPart>
      <w:docPartPr>
        <w:name w:val="{6c0ce756-f2f1-46bb-b384-7a138af85e7d}"/>
        <w:style w:val=""/>
        <w:category>
          <w:name w:val="常规"/>
          <w:gallery w:val="placeholder"/>
        </w:category>
        <w:types>
          <w:type w:val="bbPlcHdr"/>
        </w:types>
        <w:behaviors>
          <w:behavior w:val="content"/>
        </w:behaviors>
        <w:description w:val=""/>
        <w:guid w:val="{6c0ce756-f2f1-46bb-b384-7a138af85e7d}"/>
      </w:docPartPr>
      <w:docPartBody>
        <w:p>
          <w:r>
            <w:rPr>
              <w:color w:val="808080"/>
            </w:rPr>
            <w:t>单击此处输入文字。</w:t>
          </w:r>
        </w:p>
      </w:docPartBody>
    </w:docPart>
    <w:docPart>
      <w:docPartPr>
        <w:name w:val="{9c4a2605-76f2-4e65-9f6e-1f03f7abd990}"/>
        <w:style w:val=""/>
        <w:category>
          <w:name w:val="常规"/>
          <w:gallery w:val="placeholder"/>
        </w:category>
        <w:types>
          <w:type w:val="bbPlcHdr"/>
        </w:types>
        <w:behaviors>
          <w:behavior w:val="content"/>
        </w:behaviors>
        <w:description w:val=""/>
        <w:guid w:val="{9c4a2605-76f2-4e65-9f6e-1f03f7abd990}"/>
      </w:docPartPr>
      <w:docPartBody>
        <w:p>
          <w:r>
            <w:rPr>
              <w:color w:val="808080"/>
            </w:rPr>
            <w:t>单击此处输入文字。</w:t>
          </w:r>
        </w:p>
      </w:docPartBody>
    </w:docPart>
    <w:docPart>
      <w:docPartPr>
        <w:name w:val="{400778a8-87d7-4faf-b570-bcb2d856cbbc}"/>
        <w:style w:val=""/>
        <w:category>
          <w:name w:val="常规"/>
          <w:gallery w:val="placeholder"/>
        </w:category>
        <w:types>
          <w:type w:val="bbPlcHdr"/>
        </w:types>
        <w:behaviors>
          <w:behavior w:val="content"/>
        </w:behaviors>
        <w:description w:val=""/>
        <w:guid w:val="{400778a8-87d7-4faf-b570-bcb2d856cbbc}"/>
      </w:docPartPr>
      <w:docPartBody>
        <w:p>
          <w:r>
            <w:rPr>
              <w:color w:val="808080"/>
            </w:rPr>
            <w:t>单击此处输入文字。</w:t>
          </w:r>
        </w:p>
      </w:docPartBody>
    </w:docPart>
    <w:docPart>
      <w:docPartPr>
        <w:name w:val="{0dbd971b-7058-46c8-a33e-5cad292b9621}"/>
        <w:style w:val=""/>
        <w:category>
          <w:name w:val="常规"/>
          <w:gallery w:val="placeholder"/>
        </w:category>
        <w:types>
          <w:type w:val="bbPlcHdr"/>
        </w:types>
        <w:behaviors>
          <w:behavior w:val="content"/>
        </w:behaviors>
        <w:description w:val=""/>
        <w:guid w:val="{0dbd971b-7058-46c8-a33e-5cad292b9621}"/>
      </w:docPartPr>
      <w:docPartBody>
        <w:p>
          <w:r>
            <w:rPr>
              <w:color w:val="808080"/>
            </w:rPr>
            <w:t>单击此处输入文字。</w:t>
          </w:r>
        </w:p>
      </w:docPartBody>
    </w:docPart>
    <w:docPart>
      <w:docPartPr>
        <w:name w:val="{fbbcbaaa-0509-450e-ae7d-8aabeca58536}"/>
        <w:style w:val=""/>
        <w:category>
          <w:name w:val="常规"/>
          <w:gallery w:val="placeholder"/>
        </w:category>
        <w:types>
          <w:type w:val="bbPlcHdr"/>
        </w:types>
        <w:behaviors>
          <w:behavior w:val="content"/>
        </w:behaviors>
        <w:description w:val=""/>
        <w:guid w:val="{fbbcbaaa-0509-450e-ae7d-8aabeca58536}"/>
      </w:docPartPr>
      <w:docPartBody>
        <w:p>
          <w:r>
            <w:rPr>
              <w:color w:val="808080"/>
            </w:rPr>
            <w:t>单击此处输入文字。</w:t>
          </w:r>
        </w:p>
      </w:docPartBody>
    </w:docPart>
    <w:docPart>
      <w:docPartPr>
        <w:name w:val="{2b400f12-44ed-40b7-8a8c-42f9476fa223}"/>
        <w:style w:val=""/>
        <w:category>
          <w:name w:val="常规"/>
          <w:gallery w:val="placeholder"/>
        </w:category>
        <w:types>
          <w:type w:val="bbPlcHdr"/>
        </w:types>
        <w:behaviors>
          <w:behavior w:val="content"/>
        </w:behaviors>
        <w:description w:val=""/>
        <w:guid w:val="{2b400f12-44ed-40b7-8a8c-42f9476fa223}"/>
      </w:docPartPr>
      <w:docPartBody>
        <w:p>
          <w:r>
            <w:rPr>
              <w:color w:val="808080"/>
            </w:rPr>
            <w:t>单击此处输入文字。</w:t>
          </w:r>
        </w:p>
      </w:docPartBody>
    </w:docPart>
    <w:docPart>
      <w:docPartPr>
        <w:name w:val="{2daa5196-0390-4d5e-acf0-be92ff34427a}"/>
        <w:style w:val=""/>
        <w:category>
          <w:name w:val="常规"/>
          <w:gallery w:val="placeholder"/>
        </w:category>
        <w:types>
          <w:type w:val="bbPlcHdr"/>
        </w:types>
        <w:behaviors>
          <w:behavior w:val="content"/>
        </w:behaviors>
        <w:description w:val=""/>
        <w:guid w:val="{2daa5196-0390-4d5e-acf0-be92ff34427a}"/>
      </w:docPartPr>
      <w:docPartBody>
        <w:p>
          <w:r>
            <w:rPr>
              <w:color w:val="808080"/>
            </w:rPr>
            <w:t>单击此处输入文字。</w:t>
          </w:r>
        </w:p>
      </w:docPartBody>
    </w:docPart>
    <w:docPart>
      <w:docPartPr>
        <w:name w:val="{7f4bb5bd-73ae-4577-a8e6-a11a871c0e27}"/>
        <w:style w:val=""/>
        <w:category>
          <w:name w:val="常规"/>
          <w:gallery w:val="placeholder"/>
        </w:category>
        <w:types>
          <w:type w:val="bbPlcHdr"/>
        </w:types>
        <w:behaviors>
          <w:behavior w:val="content"/>
        </w:behaviors>
        <w:description w:val=""/>
        <w:guid w:val="{7f4bb5bd-73ae-4577-a8e6-a11a871c0e27}"/>
      </w:docPartPr>
      <w:docPartBody>
        <w:p>
          <w:r>
            <w:rPr>
              <w:color w:val="808080"/>
            </w:rPr>
            <w:t>单击此处输入文字。</w:t>
          </w:r>
        </w:p>
      </w:docPartBody>
    </w:docPart>
    <w:docPart>
      <w:docPartPr>
        <w:name w:val="{b365cf99-0dce-4f47-a488-b5fffbcdcea2}"/>
        <w:style w:val=""/>
        <w:category>
          <w:name w:val="常规"/>
          <w:gallery w:val="placeholder"/>
        </w:category>
        <w:types>
          <w:type w:val="bbPlcHdr"/>
        </w:types>
        <w:behaviors>
          <w:behavior w:val="content"/>
        </w:behaviors>
        <w:description w:val=""/>
        <w:guid w:val="{b365cf99-0dce-4f47-a488-b5fffbcdcea2}"/>
      </w:docPartPr>
      <w:docPartBody>
        <w:p>
          <w:r>
            <w:rPr>
              <w:color w:val="808080"/>
            </w:rPr>
            <w:t>单击此处输入文字。</w:t>
          </w:r>
        </w:p>
      </w:docPartBody>
    </w:docPart>
    <w:docPart>
      <w:docPartPr>
        <w:name w:val="{3d36e605-4b76-45bb-aab5-f811ac3b48a2}"/>
        <w:style w:val=""/>
        <w:category>
          <w:name w:val="常规"/>
          <w:gallery w:val="placeholder"/>
        </w:category>
        <w:types>
          <w:type w:val="bbPlcHdr"/>
        </w:types>
        <w:behaviors>
          <w:behavior w:val="content"/>
        </w:behaviors>
        <w:description w:val=""/>
        <w:guid w:val="{3d36e605-4b76-45bb-aab5-f811ac3b48a2}"/>
      </w:docPartPr>
      <w:docPartBody>
        <w:p>
          <w:r>
            <w:rPr>
              <w:color w:val="808080"/>
            </w:rPr>
            <w:t>单击此处输入文字。</w:t>
          </w:r>
        </w:p>
      </w:docPartBody>
    </w:docPart>
    <w:docPart>
      <w:docPartPr>
        <w:name w:val="{6bc86675-734a-4ab7-8194-ed07667a79de}"/>
        <w:style w:val=""/>
        <w:category>
          <w:name w:val="常规"/>
          <w:gallery w:val="placeholder"/>
        </w:category>
        <w:types>
          <w:type w:val="bbPlcHdr"/>
        </w:types>
        <w:behaviors>
          <w:behavior w:val="content"/>
        </w:behaviors>
        <w:description w:val=""/>
        <w:guid w:val="{6bc86675-734a-4ab7-8194-ed07667a79de}"/>
      </w:docPartPr>
      <w:docPartBody>
        <w:p>
          <w:r>
            <w:rPr>
              <w:color w:val="808080"/>
            </w:rPr>
            <w:t>单击此处输入文字。</w:t>
          </w:r>
        </w:p>
      </w:docPartBody>
    </w:docPart>
    <w:docPart>
      <w:docPartPr>
        <w:name w:val="{ac2aa76a-1cad-4b13-abbe-bf91ca1f92d0}"/>
        <w:style w:val=""/>
        <w:category>
          <w:name w:val="常规"/>
          <w:gallery w:val="placeholder"/>
        </w:category>
        <w:types>
          <w:type w:val="bbPlcHdr"/>
        </w:types>
        <w:behaviors>
          <w:behavior w:val="content"/>
        </w:behaviors>
        <w:description w:val=""/>
        <w:guid w:val="{ac2aa76a-1cad-4b13-abbe-bf91ca1f92d0}"/>
      </w:docPartPr>
      <w:docPartBody>
        <w:p>
          <w:r>
            <w:rPr>
              <w:color w:val="808080"/>
            </w:rPr>
            <w:t>单击此处输入文字。</w:t>
          </w:r>
        </w:p>
      </w:docPartBody>
    </w:docPart>
    <w:docPart>
      <w:docPartPr>
        <w:name w:val="{2f81bbfc-4b4e-43d4-ad4d-42ec4fa814d5}"/>
        <w:style w:val=""/>
        <w:category>
          <w:name w:val="常规"/>
          <w:gallery w:val="placeholder"/>
        </w:category>
        <w:types>
          <w:type w:val="bbPlcHdr"/>
        </w:types>
        <w:behaviors>
          <w:behavior w:val="content"/>
        </w:behaviors>
        <w:description w:val=""/>
        <w:guid w:val="{2f81bbfc-4b4e-43d4-ad4d-42ec4fa814d5}"/>
      </w:docPartPr>
      <w:docPartBody>
        <w:p>
          <w:r>
            <w:rPr>
              <w:color w:val="808080"/>
            </w:rPr>
            <w:t>单击此处输入文字。</w:t>
          </w:r>
        </w:p>
      </w:docPartBody>
    </w:docPart>
    <w:docPart>
      <w:docPartPr>
        <w:name w:val="{52f3fdef-a484-40ac-b575-b8581f21d85f}"/>
        <w:style w:val=""/>
        <w:category>
          <w:name w:val="常规"/>
          <w:gallery w:val="placeholder"/>
        </w:category>
        <w:types>
          <w:type w:val="bbPlcHdr"/>
        </w:types>
        <w:behaviors>
          <w:behavior w:val="content"/>
        </w:behaviors>
        <w:description w:val=""/>
        <w:guid w:val="{52f3fdef-a484-40ac-b575-b8581f21d85f}"/>
      </w:docPartPr>
      <w:docPartBody>
        <w:p>
          <w:r>
            <w:rPr>
              <w:color w:val="808080"/>
            </w:rPr>
            <w:t>单击此处输入文字。</w:t>
          </w:r>
        </w:p>
      </w:docPartBody>
    </w:docPart>
    <w:docPart>
      <w:docPartPr>
        <w:name w:val="{faf0fa8e-4029-461e-87c2-f238fd222ba1}"/>
        <w:style w:val=""/>
        <w:category>
          <w:name w:val="常规"/>
          <w:gallery w:val="placeholder"/>
        </w:category>
        <w:types>
          <w:type w:val="bbPlcHdr"/>
        </w:types>
        <w:behaviors>
          <w:behavior w:val="content"/>
        </w:behaviors>
        <w:description w:val=""/>
        <w:guid w:val="{faf0fa8e-4029-461e-87c2-f238fd222ba1}"/>
      </w:docPartPr>
      <w:docPartBody>
        <w:p>
          <w:r>
            <w:rPr>
              <w:color w:val="808080"/>
            </w:rPr>
            <w:t>单击此处输入文字。</w:t>
          </w:r>
        </w:p>
      </w:docPartBody>
    </w:docPart>
    <w:docPart>
      <w:docPartPr>
        <w:name w:val="{b7c12ce6-399a-4078-a65b-432d2528c4a5}"/>
        <w:style w:val=""/>
        <w:category>
          <w:name w:val="常规"/>
          <w:gallery w:val="placeholder"/>
        </w:category>
        <w:types>
          <w:type w:val="bbPlcHdr"/>
        </w:types>
        <w:behaviors>
          <w:behavior w:val="content"/>
        </w:behaviors>
        <w:description w:val=""/>
        <w:guid w:val="{b7c12ce6-399a-4078-a65b-432d2528c4a5}"/>
      </w:docPartPr>
      <w:docPartBody>
        <w:p>
          <w:r>
            <w:rPr>
              <w:color w:val="808080"/>
            </w:rPr>
            <w:t>单击此处输入文字。</w:t>
          </w:r>
        </w:p>
      </w:docPartBody>
    </w:docPart>
    <w:docPart>
      <w:docPartPr>
        <w:name w:val="{dc417348-5ede-4843-a032-3a1c706dfa6c}"/>
        <w:style w:val=""/>
        <w:category>
          <w:name w:val="常规"/>
          <w:gallery w:val="placeholder"/>
        </w:category>
        <w:types>
          <w:type w:val="bbPlcHdr"/>
        </w:types>
        <w:behaviors>
          <w:behavior w:val="content"/>
        </w:behaviors>
        <w:description w:val=""/>
        <w:guid w:val="{dc417348-5ede-4843-a032-3a1c706dfa6c}"/>
      </w:docPartPr>
      <w:docPartBody>
        <w:p>
          <w:r>
            <w:rPr>
              <w:color w:val="808080"/>
            </w:rPr>
            <w:t>单击此处输入文字。</w:t>
          </w:r>
        </w:p>
      </w:docPartBody>
    </w:docPart>
    <w:docPart>
      <w:docPartPr>
        <w:name w:val="{8d8f1153-566d-450d-9650-7002b53f662a}"/>
        <w:style w:val=""/>
        <w:category>
          <w:name w:val="常规"/>
          <w:gallery w:val="placeholder"/>
        </w:category>
        <w:types>
          <w:type w:val="bbPlcHdr"/>
        </w:types>
        <w:behaviors>
          <w:behavior w:val="content"/>
        </w:behaviors>
        <w:description w:val=""/>
        <w:guid w:val="{8d8f1153-566d-450d-9650-7002b53f662a}"/>
      </w:docPartPr>
      <w:docPartBody>
        <w:p>
          <w:r>
            <w:rPr>
              <w:color w:val="808080"/>
            </w:rPr>
            <w:t>单击此处输入文字。</w:t>
          </w:r>
        </w:p>
      </w:docPartBody>
    </w:docPart>
    <w:docPart>
      <w:docPartPr>
        <w:name w:val="{866f3298-e564-41f2-870d-ae1db0e6e644}"/>
        <w:style w:val=""/>
        <w:category>
          <w:name w:val="常规"/>
          <w:gallery w:val="placeholder"/>
        </w:category>
        <w:types>
          <w:type w:val="bbPlcHdr"/>
        </w:types>
        <w:behaviors>
          <w:behavior w:val="content"/>
        </w:behaviors>
        <w:description w:val=""/>
        <w:guid w:val="{866f3298-e564-41f2-870d-ae1db0e6e644}"/>
      </w:docPartPr>
      <w:docPartBody>
        <w:p>
          <w:r>
            <w:rPr>
              <w:color w:val="808080"/>
            </w:rPr>
            <w:t>单击此处输入文字。</w:t>
          </w:r>
        </w:p>
      </w:docPartBody>
    </w:docPart>
    <w:docPart>
      <w:docPartPr>
        <w:name w:val="{4346b600-8f85-4e2b-b3f9-68d46be8095c}"/>
        <w:style w:val=""/>
        <w:category>
          <w:name w:val="常规"/>
          <w:gallery w:val="placeholder"/>
        </w:category>
        <w:types>
          <w:type w:val="bbPlcHdr"/>
        </w:types>
        <w:behaviors>
          <w:behavior w:val="content"/>
        </w:behaviors>
        <w:description w:val=""/>
        <w:guid w:val="{4346b600-8f85-4e2b-b3f9-68d46be8095c}"/>
      </w:docPartPr>
      <w:docPartBody>
        <w:p>
          <w:r>
            <w:rPr>
              <w:color w:val="808080"/>
            </w:rPr>
            <w:t>单击此处输入文字。</w:t>
          </w:r>
        </w:p>
      </w:docPartBody>
    </w:docPart>
    <w:docPart>
      <w:docPartPr>
        <w:name w:val="{9d8fb73c-beb6-49f0-ba61-a127d6912e57}"/>
        <w:style w:val=""/>
        <w:category>
          <w:name w:val="常规"/>
          <w:gallery w:val="placeholder"/>
        </w:category>
        <w:types>
          <w:type w:val="bbPlcHdr"/>
        </w:types>
        <w:behaviors>
          <w:behavior w:val="content"/>
        </w:behaviors>
        <w:description w:val=""/>
        <w:guid w:val="{9d8fb73c-beb6-49f0-ba61-a127d6912e57}"/>
      </w:docPartPr>
      <w:docPartBody>
        <w:p>
          <w:r>
            <w:rPr>
              <w:color w:val="808080"/>
            </w:rPr>
            <w:t>单击此处输入文字。</w:t>
          </w:r>
        </w:p>
      </w:docPartBody>
    </w:docPart>
    <w:docPart>
      <w:docPartPr>
        <w:name w:val="{3a7648fd-8983-42e0-9332-907fdae3d1ff}"/>
        <w:style w:val=""/>
        <w:category>
          <w:name w:val="常规"/>
          <w:gallery w:val="placeholder"/>
        </w:category>
        <w:types>
          <w:type w:val="bbPlcHdr"/>
        </w:types>
        <w:behaviors>
          <w:behavior w:val="content"/>
        </w:behaviors>
        <w:description w:val=""/>
        <w:guid w:val="{3a7648fd-8983-42e0-9332-907fdae3d1ff}"/>
      </w:docPartPr>
      <w:docPartBody>
        <w:p>
          <w:r>
            <w:rPr>
              <w:color w:val="808080"/>
            </w:rPr>
            <w:t>单击此处输入文字。</w:t>
          </w:r>
        </w:p>
      </w:docPartBody>
    </w:docPart>
    <w:docPart>
      <w:docPartPr>
        <w:name w:val="{d2f0751b-cc4f-4336-a30c-362d81850632}"/>
        <w:style w:val=""/>
        <w:category>
          <w:name w:val="常规"/>
          <w:gallery w:val="placeholder"/>
        </w:category>
        <w:types>
          <w:type w:val="bbPlcHdr"/>
        </w:types>
        <w:behaviors>
          <w:behavior w:val="content"/>
        </w:behaviors>
        <w:description w:val=""/>
        <w:guid w:val="{d2f0751b-cc4f-4336-a30c-362d81850632}"/>
      </w:docPartPr>
      <w:docPartBody>
        <w:p>
          <w:r>
            <w:rPr>
              <w:color w:val="808080"/>
            </w:rPr>
            <w:t>单击此处输入文字。</w:t>
          </w:r>
        </w:p>
      </w:docPartBody>
    </w:docPart>
    <w:docPart>
      <w:docPartPr>
        <w:name w:val="{98472ef1-0e68-4327-9818-41e6ab37ca3f}"/>
        <w:style w:val=""/>
        <w:category>
          <w:name w:val="常规"/>
          <w:gallery w:val="placeholder"/>
        </w:category>
        <w:types>
          <w:type w:val="bbPlcHdr"/>
        </w:types>
        <w:behaviors>
          <w:behavior w:val="content"/>
        </w:behaviors>
        <w:description w:val=""/>
        <w:guid w:val="{98472ef1-0e68-4327-9818-41e6ab37ca3f}"/>
      </w:docPartPr>
      <w:docPartBody>
        <w:p>
          <w:r>
            <w:rPr>
              <w:color w:val="808080"/>
            </w:rPr>
            <w:t>单击此处输入文字。</w:t>
          </w:r>
        </w:p>
      </w:docPartBody>
    </w:docPart>
    <w:docPart>
      <w:docPartPr>
        <w:name w:val="{3b35e8ed-98cd-419e-9c12-dd9c1fd7d5ab}"/>
        <w:style w:val=""/>
        <w:category>
          <w:name w:val="常规"/>
          <w:gallery w:val="placeholder"/>
        </w:category>
        <w:types>
          <w:type w:val="bbPlcHdr"/>
        </w:types>
        <w:behaviors>
          <w:behavior w:val="content"/>
        </w:behaviors>
        <w:description w:val=""/>
        <w:guid w:val="{3b35e8ed-98cd-419e-9c12-dd9c1fd7d5ab}"/>
      </w:docPartPr>
      <w:docPartBody>
        <w:p>
          <w:r>
            <w:rPr>
              <w:color w:val="808080"/>
            </w:rPr>
            <w:t>单击此处输入文字。</w:t>
          </w:r>
        </w:p>
      </w:docPartBody>
    </w:docPart>
    <w:docPart>
      <w:docPartPr>
        <w:name w:val="{6ef05ccf-c1de-44eb-8729-670b6c62f098}"/>
        <w:style w:val=""/>
        <w:category>
          <w:name w:val="常规"/>
          <w:gallery w:val="placeholder"/>
        </w:category>
        <w:types>
          <w:type w:val="bbPlcHdr"/>
        </w:types>
        <w:behaviors>
          <w:behavior w:val="content"/>
        </w:behaviors>
        <w:description w:val=""/>
        <w:guid w:val="{6ef05ccf-c1de-44eb-8729-670b6c62f098}"/>
      </w:docPartPr>
      <w:docPartBody>
        <w:p>
          <w:r>
            <w:rPr>
              <w:color w:val="808080"/>
            </w:rPr>
            <w:t>单击此处输入文字。</w:t>
          </w:r>
        </w:p>
      </w:docPartBody>
    </w:docPart>
    <w:docPart>
      <w:docPartPr>
        <w:name w:val="{a50e4a89-38bb-49e3-887b-47c27afe24a3}"/>
        <w:style w:val=""/>
        <w:category>
          <w:name w:val="常规"/>
          <w:gallery w:val="placeholder"/>
        </w:category>
        <w:types>
          <w:type w:val="bbPlcHdr"/>
        </w:types>
        <w:behaviors>
          <w:behavior w:val="content"/>
        </w:behaviors>
        <w:description w:val=""/>
        <w:guid w:val="{a50e4a89-38bb-49e3-887b-47c27afe24a3}"/>
      </w:docPartPr>
      <w:docPartBody>
        <w:p>
          <w:r>
            <w:rPr>
              <w:color w:val="808080"/>
            </w:rPr>
            <w:t>单击此处输入文字。</w:t>
          </w:r>
        </w:p>
      </w:docPartBody>
    </w:docPart>
    <w:docPart>
      <w:docPartPr>
        <w:name w:val="{f1d2ee67-fb84-44fa-8810-78b509be9365}"/>
        <w:style w:val=""/>
        <w:category>
          <w:name w:val="常规"/>
          <w:gallery w:val="placeholder"/>
        </w:category>
        <w:types>
          <w:type w:val="bbPlcHdr"/>
        </w:types>
        <w:behaviors>
          <w:behavior w:val="content"/>
        </w:behaviors>
        <w:description w:val=""/>
        <w:guid w:val="{f1d2ee67-fb84-44fa-8810-78b509be9365}"/>
      </w:docPartPr>
      <w:docPartBody>
        <w:p>
          <w:r>
            <w:rPr>
              <w:color w:val="808080"/>
            </w:rPr>
            <w:t>单击此处输入文字。</w:t>
          </w:r>
        </w:p>
      </w:docPartBody>
    </w:docPart>
    <w:docPart>
      <w:docPartPr>
        <w:name w:val="{14d87dc4-dde8-4f8c-aa7f-3cc3b9fa9a5e}"/>
        <w:style w:val=""/>
        <w:category>
          <w:name w:val="常规"/>
          <w:gallery w:val="placeholder"/>
        </w:category>
        <w:types>
          <w:type w:val="bbPlcHdr"/>
        </w:types>
        <w:behaviors>
          <w:behavior w:val="content"/>
        </w:behaviors>
        <w:description w:val=""/>
        <w:guid w:val="{14d87dc4-dde8-4f8c-aa7f-3cc3b9fa9a5e}"/>
      </w:docPartPr>
      <w:docPartBody>
        <w:p>
          <w:r>
            <w:rPr>
              <w:color w:val="808080"/>
            </w:rPr>
            <w:t>单击此处输入文字。</w:t>
          </w:r>
        </w:p>
      </w:docPartBody>
    </w:docPart>
    <w:docPart>
      <w:docPartPr>
        <w:name w:val="{ed8f1c57-b0eb-4ce8-86e4-36039054131f}"/>
        <w:style w:val=""/>
        <w:category>
          <w:name w:val="常规"/>
          <w:gallery w:val="placeholder"/>
        </w:category>
        <w:types>
          <w:type w:val="bbPlcHdr"/>
        </w:types>
        <w:behaviors>
          <w:behavior w:val="content"/>
        </w:behaviors>
        <w:description w:val=""/>
        <w:guid w:val="{ed8f1c57-b0eb-4ce8-86e4-36039054131f}"/>
      </w:docPartPr>
      <w:docPartBody>
        <w:p>
          <w:r>
            <w:rPr>
              <w:color w:val="808080"/>
            </w:rPr>
            <w:t>单击此处输入文字。</w:t>
          </w:r>
        </w:p>
      </w:docPartBody>
    </w:docPart>
    <w:docPart>
      <w:docPartPr>
        <w:name w:val="{d540509a-dc4a-4251-8360-f085e29bd41d}"/>
        <w:style w:val=""/>
        <w:category>
          <w:name w:val="常规"/>
          <w:gallery w:val="placeholder"/>
        </w:category>
        <w:types>
          <w:type w:val="bbPlcHdr"/>
        </w:types>
        <w:behaviors>
          <w:behavior w:val="content"/>
        </w:behaviors>
        <w:description w:val=""/>
        <w:guid w:val="{d540509a-dc4a-4251-8360-f085e29bd41d}"/>
      </w:docPartPr>
      <w:docPartBody>
        <w:p>
          <w:r>
            <w:rPr>
              <w:color w:val="808080"/>
            </w:rPr>
            <w:t>单击此处输入文字。</w:t>
          </w:r>
        </w:p>
      </w:docPartBody>
    </w:docPart>
    <w:docPart>
      <w:docPartPr>
        <w:name w:val="{5de8a287-6a20-4956-aa2d-25848789cae9}"/>
        <w:style w:val=""/>
        <w:category>
          <w:name w:val="常规"/>
          <w:gallery w:val="placeholder"/>
        </w:category>
        <w:types>
          <w:type w:val="bbPlcHdr"/>
        </w:types>
        <w:behaviors>
          <w:behavior w:val="content"/>
        </w:behaviors>
        <w:description w:val=""/>
        <w:guid w:val="{5de8a287-6a20-4956-aa2d-25848789cae9}"/>
      </w:docPartPr>
      <w:docPartBody>
        <w:p>
          <w:r>
            <w:rPr>
              <w:color w:val="808080"/>
            </w:rPr>
            <w:t>单击此处输入文字。</w:t>
          </w:r>
        </w:p>
      </w:docPartBody>
    </w:docPart>
    <w:docPart>
      <w:docPartPr>
        <w:name w:val="{f3f3828d-dc99-4867-a42e-f1ee45c4f4ec}"/>
        <w:style w:val=""/>
        <w:category>
          <w:name w:val="常规"/>
          <w:gallery w:val="placeholder"/>
        </w:category>
        <w:types>
          <w:type w:val="bbPlcHdr"/>
        </w:types>
        <w:behaviors>
          <w:behavior w:val="content"/>
        </w:behaviors>
        <w:description w:val=""/>
        <w:guid w:val="{f3f3828d-dc99-4867-a42e-f1ee45c4f4ec}"/>
      </w:docPartPr>
      <w:docPartBody>
        <w:p>
          <w:r>
            <w:rPr>
              <w:color w:val="808080"/>
            </w:rPr>
            <w:t>单击此处输入文字。</w:t>
          </w:r>
        </w:p>
      </w:docPartBody>
    </w:docPart>
    <w:docPart>
      <w:docPartPr>
        <w:name w:val="{9156de23-0a84-4537-8212-c2c528b61b8e}"/>
        <w:style w:val=""/>
        <w:category>
          <w:name w:val="常规"/>
          <w:gallery w:val="placeholder"/>
        </w:category>
        <w:types>
          <w:type w:val="bbPlcHdr"/>
        </w:types>
        <w:behaviors>
          <w:behavior w:val="content"/>
        </w:behaviors>
        <w:description w:val=""/>
        <w:guid w:val="{9156de23-0a84-4537-8212-c2c528b61b8e}"/>
      </w:docPartPr>
      <w:docPartBody>
        <w:p>
          <w:r>
            <w:rPr>
              <w:color w:val="808080"/>
            </w:rPr>
            <w:t>单击此处输入文字。</w:t>
          </w:r>
        </w:p>
      </w:docPartBody>
    </w:docPart>
    <w:docPart>
      <w:docPartPr>
        <w:name w:val="{b7885756-64c3-40f8-b6dc-83ed7e3d30c5}"/>
        <w:style w:val=""/>
        <w:category>
          <w:name w:val="常规"/>
          <w:gallery w:val="placeholder"/>
        </w:category>
        <w:types>
          <w:type w:val="bbPlcHdr"/>
        </w:types>
        <w:behaviors>
          <w:behavior w:val="content"/>
        </w:behaviors>
        <w:description w:val=""/>
        <w:guid w:val="{b7885756-64c3-40f8-b6dc-83ed7e3d30c5}"/>
      </w:docPartPr>
      <w:docPartBody>
        <w:p>
          <w:r>
            <w:rPr>
              <w:color w:val="808080"/>
            </w:rPr>
            <w:t>单击此处输入文字。</w:t>
          </w:r>
        </w:p>
      </w:docPartBody>
    </w:docPart>
    <w:docPart>
      <w:docPartPr>
        <w:name w:val="{25c0002e-6953-47d6-89c0-635c658822d4}"/>
        <w:style w:val=""/>
        <w:category>
          <w:name w:val="常规"/>
          <w:gallery w:val="placeholder"/>
        </w:category>
        <w:types>
          <w:type w:val="bbPlcHdr"/>
        </w:types>
        <w:behaviors>
          <w:behavior w:val="content"/>
        </w:behaviors>
        <w:description w:val=""/>
        <w:guid w:val="{25c0002e-6953-47d6-89c0-635c658822d4}"/>
      </w:docPartPr>
      <w:docPartBody>
        <w:p>
          <w:r>
            <w:rPr>
              <w:color w:val="808080"/>
            </w:rPr>
            <w:t>单击此处输入文字。</w:t>
          </w:r>
        </w:p>
      </w:docPartBody>
    </w:docPart>
    <w:docPart>
      <w:docPartPr>
        <w:name w:val="{8af34218-aee7-4d8b-882e-6cb0264de2c5}"/>
        <w:style w:val=""/>
        <w:category>
          <w:name w:val="常规"/>
          <w:gallery w:val="placeholder"/>
        </w:category>
        <w:types>
          <w:type w:val="bbPlcHdr"/>
        </w:types>
        <w:behaviors>
          <w:behavior w:val="content"/>
        </w:behaviors>
        <w:description w:val=""/>
        <w:guid w:val="{8af34218-aee7-4d8b-882e-6cb0264de2c5}"/>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true"/>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27</Pages>
  <Words>8393</Words>
  <Characters>9041</Characters>
  <Lines>61</Lines>
  <Paragraphs>17</Paragraphs>
  <TotalTime>0</TotalTime>
  <ScaleCrop>false</ScaleCrop>
  <LinksUpToDate>false</LinksUpToDate>
  <CharactersWithSpaces>9640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2020-08-07T09:49:00Z</dcterms:created>
  <dc:creator>曹颖</dc:creator>
  <cp:lastModifiedBy>静水流深</cp:lastModifiedBy>
  <cp:lastPrinted>2021-08-01T11:56:00Z</cp:lastPrinted>
  <dcterms:modified xsi:type="dcterms:W3CDTF">2023-06-08T09:01:53Z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A85CC8B29AD243DA904408C0E5393C94</vt:lpwstr>
  </property>
</Properties>
</file>